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7EE6E">
      <w:pPr>
        <w:pBdr>
          <w:bottom w:val="single" w:color="1F4E79" w:sz="6" w:space="6"/>
        </w:pBd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36"/>
          <w:szCs w:val="36"/>
        </w:rPr>
        <w:t>招聘 JD：运营总监（CGT 创新药方向）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4C9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253E5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bCs/>
                <w:color w:val="1F4E79"/>
                <w:sz w:val="22"/>
                <w:szCs w:val="22"/>
              </w:rPr>
              <w:t>职位名称</w:t>
            </w:r>
          </w:p>
        </w:tc>
        <w:tc>
          <w:tcPr>
            <w:tcW w:w="6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83CFB">
            <w:pPr>
              <w:spacing w:after="0" w:line="300" w:lineRule="auto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2"/>
                <w:szCs w:val="22"/>
              </w:rPr>
              <w:t>运营总监（细胞与基因治疗 / CGT 创新药方向）</w:t>
            </w:r>
          </w:p>
        </w:tc>
      </w:tr>
      <w:tr w14:paraId="76F3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5D864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bCs/>
                <w:color w:val="1F4E79"/>
                <w:sz w:val="22"/>
                <w:szCs w:val="22"/>
              </w:rPr>
              <w:t>部门与汇报对象</w:t>
            </w:r>
          </w:p>
        </w:tc>
        <w:tc>
          <w:tcPr>
            <w:tcW w:w="6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72D8D">
            <w:pPr>
              <w:spacing w:after="0" w:line="300" w:lineRule="auto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2"/>
                <w:szCs w:val="22"/>
              </w:rPr>
              <w:t>研发运营部（Pipeline Operations）｜汇报对象：CEO</w:t>
            </w:r>
          </w:p>
        </w:tc>
      </w:tr>
      <w:tr w14:paraId="0D1E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1F615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bCs/>
                <w:color w:val="1F4E79"/>
                <w:sz w:val="22"/>
                <w:szCs w:val="22"/>
              </w:rPr>
              <w:t>公司类型</w:t>
            </w:r>
          </w:p>
        </w:tc>
        <w:tc>
          <w:tcPr>
            <w:tcW w:w="6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45904">
            <w:pPr>
              <w:spacing w:after="0" w:line="300" w:lineRule="auto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2"/>
                <w:szCs w:val="22"/>
              </w:rPr>
              <w:t>民营创新药企业（Biotech）</w:t>
            </w:r>
          </w:p>
        </w:tc>
      </w:tr>
      <w:tr w14:paraId="4EA7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38ADC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bCs/>
                <w:color w:val="1F4E79"/>
                <w:sz w:val="22"/>
                <w:szCs w:val="22"/>
              </w:rPr>
              <w:t>工作地点</w:t>
            </w:r>
          </w:p>
        </w:tc>
        <w:tc>
          <w:tcPr>
            <w:tcW w:w="6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EDC8B">
            <w:pPr>
              <w:spacing w:after="0" w:line="300" w:lineRule="auto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2"/>
                <w:szCs w:val="22"/>
              </w:rPr>
              <w:t>【城市，</w:t>
            </w:r>
            <w:r>
              <w:rPr>
                <w:rFonts w:hint="eastAsia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上海闵行</w:t>
            </w:r>
            <w:r>
              <w:rPr>
                <w:rFonts w:ascii="Arial" w:hAnsi="Arial" w:eastAsia="微软雅黑"/>
                <w:b w:val="0"/>
                <w:bCs w:val="0"/>
                <w:color w:val="000000"/>
                <w:sz w:val="22"/>
                <w:szCs w:val="22"/>
              </w:rPr>
              <w:t>】</w:t>
            </w:r>
          </w:p>
        </w:tc>
      </w:tr>
      <w:tr w14:paraId="5016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23EF1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bCs/>
                <w:color w:val="1F4E79"/>
                <w:sz w:val="22"/>
                <w:szCs w:val="22"/>
              </w:rPr>
              <w:t>薪资范围</w:t>
            </w:r>
          </w:p>
        </w:tc>
        <w:tc>
          <w:tcPr>
            <w:tcW w:w="6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14DD2">
            <w:pPr>
              <w:spacing w:after="0" w:line="300" w:lineRule="auto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2"/>
                <w:szCs w:val="22"/>
              </w:rPr>
              <w:t>年薪约 36 万元（税前），最终依据经验、能力与市场水平面议</w:t>
            </w:r>
          </w:p>
        </w:tc>
      </w:tr>
    </w:tbl>
    <w:p w14:paraId="69AD71C1">
      <w:pPr>
        <w:spacing w:after="40"/>
      </w:pPr>
    </w:p>
    <w:p w14:paraId="2DA8A6B1">
      <w:pPr>
        <w:spacing w:before="300" w:after="140"/>
        <w:rPr>
          <w:rFonts w:hint="eastAsia" w:ascii="Arial" w:hAnsi="Arial" w:eastAsia="微软雅黑"/>
          <w:b/>
          <w:bCs/>
          <w:color w:val="1F4E79"/>
          <w:sz w:val="28"/>
          <w:szCs w:val="28"/>
        </w:rPr>
      </w:pPr>
      <w:r>
        <w:rPr>
          <w:rFonts w:hint="eastAsia" w:ascii="Arial" w:hAnsi="Arial" w:eastAsia="微软雅黑"/>
          <w:b/>
          <w:bCs/>
          <w:color w:val="1F4E79"/>
          <w:sz w:val="28"/>
          <w:szCs w:val="28"/>
        </w:rPr>
        <w:t>公司简介</w:t>
      </w:r>
    </w:p>
    <w:p w14:paraId="50D47752">
      <w:pPr>
        <w:spacing w:after="120" w:line="340" w:lineRule="auto"/>
        <w:ind w:firstLine="440" w:firstLineChars="200"/>
        <w:rPr>
          <w:rFonts w:ascii="Arial" w:hAnsi="Arial" w:eastAsia="微软雅黑"/>
          <w:b/>
          <w:bCs/>
          <w:color w:val="1F4E79"/>
          <w:sz w:val="28"/>
          <w:szCs w:val="28"/>
        </w:rPr>
      </w:pPr>
      <w:r>
        <w:rPr>
          <w:rFonts w:hint="eastAsia" w:ascii="Arial" w:hAnsi="Arial" w:eastAsia="微软雅黑" w:cstheme="minorBidi"/>
          <w:b w:val="0"/>
          <w:bCs w:val="0"/>
          <w:sz w:val="22"/>
          <w:szCs w:val="22"/>
        </w:rPr>
        <w:t>合生纪康（HosynBiomeX）聚焦代谢性亚健康的双阶益生菌（天然益生菌 + 工程化益生菌）研发与产业化，技术源自华东师范大学叶海峰教授团队（多项国家重点研发计划，Science / Nature / NBT 等顶刊论文，30+ 发明专利）。公司秉持“强科技 · 强功效 · 强信任”理念，为高尿酸、减肥、降糖等人群提供一站式解决方案。首款天然降尿酸益生菌（葉田强®）已于 2026 年 8 月以普通食品形式上市，工程化</w:t>
      </w:r>
      <w:r>
        <w:rPr>
          <w:rFonts w:hint="eastAsia" w:ascii="Arial" w:hAnsi="Arial" w:cstheme="minorBidi"/>
          <w:b w:val="0"/>
          <w:bCs w:val="0"/>
          <w:sz w:val="22"/>
          <w:szCs w:val="22"/>
          <w:lang w:val="en-US" w:eastAsia="zh-CN"/>
        </w:rPr>
        <w:t>益生菌</w:t>
      </w:r>
      <w:r>
        <w:rPr>
          <w:rFonts w:hint="eastAsia" w:ascii="Arial" w:hAnsi="Arial" w:eastAsia="微软雅黑" w:cstheme="minorBidi"/>
          <w:b w:val="0"/>
          <w:bCs w:val="0"/>
          <w:sz w:val="22"/>
          <w:szCs w:val="22"/>
        </w:rPr>
        <w:t>管线走 FDA GRAS 认证 + 国务院 818 号令</w:t>
      </w:r>
      <w:r>
        <w:rPr>
          <w:rFonts w:hint="eastAsia" w:ascii="Arial" w:hAnsi="Arial" w:cstheme="minorBidi"/>
          <w:b w:val="0"/>
          <w:bCs w:val="0"/>
          <w:sz w:val="22"/>
          <w:szCs w:val="22"/>
          <w:lang w:val="en-US" w:eastAsia="zh-CN"/>
        </w:rPr>
        <w:t>以及创新药</w:t>
      </w:r>
      <w:r>
        <w:rPr>
          <w:rFonts w:hint="eastAsia" w:ascii="Arial" w:hAnsi="Arial" w:eastAsia="微软雅黑" w:cstheme="minorBidi"/>
          <w:b w:val="0"/>
          <w:bCs w:val="0"/>
          <w:sz w:val="22"/>
          <w:szCs w:val="22"/>
        </w:rPr>
        <w:t>转化路径。</w:t>
      </w:r>
      <w:bookmarkStart w:id="0" w:name="_GoBack"/>
      <w:bookmarkEnd w:id="0"/>
    </w:p>
    <w:p w14:paraId="57D749F5">
      <w:pPr>
        <w:spacing w:before="300" w:after="140"/>
      </w:pPr>
      <w:r>
        <w:rPr>
          <w:rFonts w:ascii="Arial" w:hAnsi="Arial" w:eastAsia="微软雅黑"/>
          <w:b/>
          <w:bCs/>
          <w:color w:val="1F4E79"/>
          <w:sz w:val="28"/>
          <w:szCs w:val="28"/>
        </w:rPr>
        <w:t>职位概述</w:t>
      </w:r>
    </w:p>
    <w:p w14:paraId="1028BA09">
      <w:pPr>
        <w:spacing w:after="120" w:line="340" w:lineRule="auto"/>
        <w:ind w:firstLine="440" w:firstLineChars="200"/>
      </w:pPr>
      <w:r>
        <w:rPr>
          <w:rFonts w:ascii="Arial" w:hAnsi="Arial" w:eastAsia="微软雅黑"/>
          <w:b w:val="0"/>
          <w:bCs w:val="0"/>
          <w:sz w:val="22"/>
          <w:szCs w:val="22"/>
        </w:rPr>
        <w:t>作为公司运营团队从 0 到 1 搭建的核心成员，您将全面负责 CGT（细胞与基因治疗）创新药管线的运营管理，覆盖从 PCC（临床前候选分子确认）到 IND 申报及临床阶段的完整路径。您将与研发、CMC、注册、临床团队及外部 CDMO/CRO 伙伴紧密协作，推动管线高效、合规地向前推进，并帮助公司沉淀一套专业、务实、扁平化的运营体系。</w:t>
      </w:r>
    </w:p>
    <w:p w14:paraId="1199B74B">
      <w:pPr>
        <w:spacing w:before="300" w:after="140"/>
      </w:pPr>
      <w:r>
        <w:rPr>
          <w:rFonts w:ascii="Arial" w:hAnsi="Arial" w:eastAsia="微软雅黑"/>
          <w:b/>
          <w:bCs/>
          <w:color w:val="1F4E79"/>
          <w:sz w:val="28"/>
          <w:szCs w:val="28"/>
        </w:rPr>
        <w:t>主要职责</w:t>
      </w:r>
    </w:p>
    <w:p w14:paraId="5A1E938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管线统筹运营</w:t>
      </w:r>
      <w:r>
        <w:rPr>
          <w:rFonts w:ascii="Arial" w:hAnsi="Arial" w:eastAsia="微软雅黑"/>
          <w:b w:val="0"/>
          <w:bCs w:val="0"/>
          <w:sz w:val="22"/>
          <w:szCs w:val="22"/>
        </w:rPr>
        <w:t>：独立统筹 1 条及以上 CGT 管线从 PCC 至临床阶段的整体运营，制定并跟踪项目计划、关键里程碑与决策节点，确保管线按计划、按预算推进。</w:t>
      </w:r>
    </w:p>
    <w:p w14:paraId="24CE97B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跨职能协调</w:t>
      </w:r>
      <w:r>
        <w:rPr>
          <w:rFonts w:ascii="Arial" w:hAnsi="Arial" w:eastAsia="微软雅黑"/>
          <w:b w:val="0"/>
          <w:bCs w:val="0"/>
          <w:sz w:val="22"/>
          <w:szCs w:val="22"/>
        </w:rPr>
        <w:t>：牵头研发、CMC、非临床、注册与临床团队间的信息流转与决策落地，主持跨部门项目会议并输出清晰的行动项与责任人。</w:t>
      </w:r>
    </w:p>
    <w:p w14:paraId="3D7035C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注册申报支持</w:t>
      </w:r>
      <w:r>
        <w:rPr>
          <w:rFonts w:ascii="Arial" w:hAnsi="Arial" w:eastAsia="微软雅黑"/>
          <w:b w:val="0"/>
          <w:bCs w:val="0"/>
          <w:sz w:val="22"/>
          <w:szCs w:val="22"/>
        </w:rPr>
        <w:t>：组织并协调 IND 申报所需的文档整合、差距分析与沟通准备，支持公司顺利完成从临床前到临床阶段的平稳过渡。</w:t>
      </w:r>
    </w:p>
    <w:p w14:paraId="4B0C556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外部伙伴管理</w:t>
      </w:r>
      <w:r>
        <w:rPr>
          <w:rFonts w:ascii="Arial" w:hAnsi="Arial" w:eastAsia="微软雅黑"/>
          <w:b w:val="0"/>
          <w:bCs w:val="0"/>
          <w:sz w:val="22"/>
          <w:szCs w:val="22"/>
        </w:rPr>
        <w:t>：筛选、评估并管理 CDMO/CRO 等外部合作伙伴，建立供应商考核与风险预警机制，保障关键路径资源的质量与进度。</w:t>
      </w:r>
    </w:p>
    <w:p w14:paraId="05C9CD1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预算与资源规划</w:t>
      </w:r>
      <w:r>
        <w:rPr>
          <w:rFonts w:ascii="Arial" w:hAnsi="Arial" w:eastAsia="微软雅黑"/>
          <w:b w:val="0"/>
          <w:bCs w:val="0"/>
          <w:sz w:val="22"/>
          <w:szCs w:val="22"/>
        </w:rPr>
        <w:t>：参与管线年度预算编制与资源分配，监控实际支出，定期向管理层汇报资源投入效率与风险敞口。</w:t>
      </w:r>
    </w:p>
    <w:p w14:paraId="42F2F77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运营体系搭建（0→1）</w:t>
      </w:r>
      <w:r>
        <w:rPr>
          <w:rFonts w:ascii="Arial" w:hAnsi="Arial" w:eastAsia="微软雅黑"/>
          <w:b w:val="0"/>
          <w:bCs w:val="0"/>
          <w:sz w:val="22"/>
          <w:szCs w:val="22"/>
        </w:rPr>
        <w:t>：参与公司运营团队与项目管理体系从 0 到 1 的搭建，制定流程、模板与 SOP，推动务实高效的工作方式落地。</w:t>
      </w:r>
    </w:p>
    <w:p w14:paraId="78E352A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风险与决策支持</w:t>
      </w:r>
      <w:r>
        <w:rPr>
          <w:rFonts w:ascii="Arial" w:hAnsi="Arial" w:eastAsia="微软雅黑"/>
          <w:b w:val="0"/>
          <w:bCs w:val="0"/>
          <w:sz w:val="22"/>
          <w:szCs w:val="22"/>
        </w:rPr>
        <w:t>：识别管线推进中的技术、注册、供应链与合规风险，建立升级与决策机制，及时为管理层提供可执行的决策建议。</w:t>
      </w:r>
    </w:p>
    <w:p w14:paraId="1C97DDC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团队与知识沉淀</w:t>
      </w:r>
      <w:r>
        <w:rPr>
          <w:rFonts w:ascii="Arial" w:hAnsi="Arial" w:eastAsia="微软雅黑"/>
          <w:b w:val="0"/>
          <w:bCs w:val="0"/>
          <w:sz w:val="22"/>
          <w:szCs w:val="22"/>
        </w:rPr>
        <w:t>：参与运营团队成员招募与培养，组织项目复盘，沉淀经验与知识库，提升团队整体专业度。</w:t>
      </w:r>
    </w:p>
    <w:p w14:paraId="0F0A9FE7">
      <w:pPr>
        <w:spacing w:before="300" w:after="140"/>
      </w:pPr>
      <w:r>
        <w:rPr>
          <w:rFonts w:ascii="Arial" w:hAnsi="Arial" w:eastAsia="微软雅黑"/>
          <w:b/>
          <w:bCs/>
          <w:color w:val="1F4E79"/>
          <w:sz w:val="28"/>
          <w:szCs w:val="28"/>
        </w:rPr>
        <w:t>必备条件</w:t>
      </w:r>
    </w:p>
    <w:p w14:paraId="1D116D7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7–10 年生物医药行业相关经验（其中含细胞与基因治疗领域经验），具备同等能力的资深履历亦可考虑；</w:t>
      </w:r>
    </w:p>
    <w:p w14:paraId="6A6275D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独立负责过至少 1 条 CGT 方向管线从 PCC（临床前候选分子）到临床阶段的完整管线运营</w:t>
      </w:r>
      <w:r>
        <w:rPr>
          <w:rFonts w:ascii="Arial" w:hAnsi="Arial" w:eastAsia="微软雅黑"/>
          <w:b w:val="0"/>
          <w:bCs w:val="0"/>
          <w:sz w:val="22"/>
          <w:szCs w:val="22"/>
        </w:rPr>
        <w:t>；</w:t>
      </w:r>
    </w:p>
    <w:p w14:paraId="03D9678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熟悉创新药研发全流程，理解非临床、CMC、注册与临床阶段的关键节点及其衔接逻辑；</w:t>
      </w:r>
    </w:p>
    <w:p w14:paraId="1168D68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具备扎实的项目计划、风险管理与跨团队沟通能力；</w:t>
      </w:r>
    </w:p>
    <w:p w14:paraId="677E0CE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硕士及以上学历（生物学、药学、医学等相关专业），或具备同等经验的其他背景；</w:t>
      </w:r>
    </w:p>
    <w:p w14:paraId="050E7E5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具备良好的英文文献阅读与书面沟通能力。</w:t>
      </w:r>
    </w:p>
    <w:p w14:paraId="538F735A">
      <w:pPr>
        <w:spacing w:before="300" w:after="140"/>
      </w:pPr>
      <w:r>
        <w:rPr>
          <w:rFonts w:ascii="Arial" w:hAnsi="Arial" w:eastAsia="微软雅黑"/>
          <w:b/>
          <w:bCs/>
          <w:color w:val="1F4E79"/>
          <w:sz w:val="28"/>
          <w:szCs w:val="28"/>
        </w:rPr>
        <w:t>优先条件（加分项）</w:t>
      </w:r>
    </w:p>
    <w:p w14:paraId="033B21F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独立负责过基因改造活菌药（Engineered Live Biotherapeutic Products）推进至临床阶段的完整履历</w:t>
      </w:r>
      <w:r>
        <w:rPr>
          <w:rFonts w:ascii="Arial" w:hAnsi="Arial" w:eastAsia="微软雅黑"/>
          <w:b w:val="0"/>
          <w:bCs w:val="0"/>
          <w:sz w:val="22"/>
          <w:szCs w:val="22"/>
        </w:rPr>
        <w:t>；</w:t>
      </w:r>
    </w:p>
    <w:p w14:paraId="0E3E417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有参与运营 / 项目管理团队从 0 到 1 搭建的经验；</w:t>
      </w:r>
    </w:p>
    <w:p w14:paraId="5E270D1D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有成功完成 IND 申报的经验；</w:t>
      </w:r>
    </w:p>
    <w:p w14:paraId="42B22A7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熟悉 GLP / GMP / GCP 及 ICH 相关指南；</w:t>
      </w:r>
    </w:p>
    <w:p w14:paraId="253966C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持有 PMP 或同等项目管理认证。</w:t>
      </w:r>
    </w:p>
    <w:p w14:paraId="5AA5B280">
      <w:pPr>
        <w:spacing w:before="300" w:after="140"/>
      </w:pPr>
      <w:r>
        <w:rPr>
          <w:rFonts w:ascii="Arial" w:hAnsi="Arial" w:eastAsia="微软雅黑"/>
          <w:b/>
          <w:bCs/>
          <w:color w:val="1F4E79"/>
          <w:sz w:val="28"/>
          <w:szCs w:val="28"/>
        </w:rPr>
        <w:t>薪酬与福利</w:t>
      </w:r>
    </w:p>
    <w:p w14:paraId="48D77CD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/>
          <w:bCs/>
          <w:sz w:val="22"/>
          <w:szCs w:val="22"/>
        </w:rPr>
        <w:t>年薪：约 36 万元（税前）</w:t>
      </w:r>
      <w:r>
        <w:rPr>
          <w:rFonts w:ascii="Arial" w:hAnsi="Arial" w:eastAsia="微软雅黑"/>
          <w:b w:val="0"/>
          <w:bCs w:val="0"/>
          <w:sz w:val="22"/>
          <w:szCs w:val="22"/>
        </w:rPr>
        <w:t>，具体将根据经验、能力与市场水平综合确定；</w:t>
      </w:r>
    </w:p>
    <w:p w14:paraId="247206F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五险一金、补充商业保险、带薪年假、年度体检【按公司制度】；</w:t>
      </w:r>
    </w:p>
    <w:p w14:paraId="16DB34A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扁平化管理、务实文化，核心岗位可直接参与公司关键决策；</w:t>
      </w:r>
    </w:p>
    <w:p w14:paraId="7E0E956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微软雅黑"/>
          <w:b w:val="0"/>
          <w:bCs w:val="0"/>
          <w:sz w:val="22"/>
          <w:szCs w:val="22"/>
        </w:rPr>
        <w:t>参与团队从 0 到 1 搭建带来的高成长空间（期权 / 股权激励视公司政策面议）。</w:t>
      </w:r>
    </w:p>
    <w:p w14:paraId="50EA27B0">
      <w:pPr>
        <w:spacing w:before="200"/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71E87">
    <w:pPr>
      <w:jc w:val="center"/>
    </w:pPr>
    <w:r>
      <w:rPr>
        <w:rFonts w:ascii="Arial" w:hAnsi="Arial" w:eastAsia="微软雅黑"/>
        <w:color w:val="808080"/>
        <w:sz w:val="18"/>
        <w:szCs w:val="18"/>
      </w:rPr>
      <w:t xml:space="preserve">第 </w:t>
    </w:r>
    <w:r>
      <w:rPr>
        <w:rFonts w:ascii="Arial" w:hAnsi="Arial" w:eastAsia="微软雅黑"/>
        <w:color w:val="808080"/>
        <w:sz w:val="18"/>
        <w:szCs w:val="18"/>
      </w:rPr>
      <w:fldChar w:fldCharType="begin"/>
    </w:r>
    <w:r>
      <w:rPr>
        <w:rFonts w:ascii="Arial" w:hAnsi="Arial" w:eastAsia="微软雅黑"/>
        <w:color w:val="808080"/>
        <w:sz w:val="18"/>
        <w:szCs w:val="18"/>
      </w:rPr>
      <w:instrText xml:space="preserve">PAGE</w:instrText>
    </w:r>
    <w:r>
      <w:rPr>
        <w:rFonts w:ascii="Arial" w:hAnsi="Arial" w:eastAsia="微软雅黑"/>
        <w:color w:val="808080"/>
        <w:sz w:val="18"/>
        <w:szCs w:val="18"/>
      </w:rPr>
      <w:fldChar w:fldCharType="separate"/>
    </w:r>
    <w:r>
      <w:rPr>
        <w:rFonts w:ascii="Arial" w:hAnsi="Arial" w:eastAsia="微软雅黑"/>
        <w:color w:val="808080"/>
        <w:sz w:val="18"/>
        <w:szCs w:val="18"/>
      </w:rPr>
      <w:fldChar w:fldCharType="end"/>
    </w:r>
    <w:r>
      <w:rPr>
        <w:rFonts w:ascii="Arial" w:hAnsi="Arial" w:eastAsia="微软雅黑"/>
        <w:color w:val="80808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BA1A22"/>
    <w:rsid w:val="121C01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1471</Words>
  <Characters>1593</Characters>
  <TotalTime>9</TotalTime>
  <ScaleCrop>false</ScaleCrop>
  <LinksUpToDate>false</LinksUpToDate>
  <CharactersWithSpaces>1665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2026-09-07T10:22:00Z</dcterms:created>
  <dc:creator>Un-named</dc:creator>
  <cp:lastModifiedBy>秀字营</cp:lastModifiedBy>
  <dcterms:modified xsi:type="dcterms:W3CDTF">2026-09-11T03:18:09Z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eyJoZGlkIjoiOTcyN2FhNGRhMzIzMGZhNzJiZDM2MjIyOGRiZWM2OWEiLCJ1c2VySWQiOiI1NzI2ODU5MjEifQ==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CB26690DBDCA443893BA8C20DB117B43_12</vt:lpwstr>
  </property>
</Properties>
</file>