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保密协议对比稿</w:t>
      </w:r>
    </w:p>
    <w:p>
      <w:r>
        <w:t>1 甲方为澄川设备公司，乙方为云衡制造公司，目的为评估巡检设备合作。</w:t>
      </w:r>
    </w:p>
    <w:p>
      <w:r>
        <w:t>2 保密信息包括未公开图纸、报价、客户资料、样机参数及口头披露内容；接收方只为合作评估使用。</w:t>
      </w:r>
    </w:p>
    <w:p>
      <w:r>
        <w:t>3 已公开、先前合法持有、独立开发、合法第三方取得为例外，主张例外者保存证据。</w:t>
      </w:r>
    </w:p>
    <w:p>
      <w:r>
        <w:t>4 披露限有必要知悉的员工及专业顾问；关联公司披露应先取得书面确认。</w:t>
      </w:r>
    </w:p>
    <w:p>
      <w:r>
        <w:t>5 保密期限自每次披露起5年；商业秘密不因期限届满自动公开。</w:t>
      </w:r>
    </w:p>
    <w:p>
      <w:r>
        <w:t>6 书面要求后3个工作日内返还或删除；依法必须保存的备份继续保密。</w:t>
      </w:r>
    </w:p>
    <w:p>
      <w:r>
        <w:t>7 未经书面许可不得复制用于生产、独家代理或逆向工程；既有知识产权不转让。</w:t>
      </w:r>
    </w:p>
    <w:p>
      <w:r>
        <w:t>8 泄露后及时通知并协助控制影响，对可证损失承担责任。无单独责任金额上限。</w:t>
      </w:r>
    </w:p>
    <w:p>
      <w:r>
        <w:t>9 通知按企业工作邮箱，修改须双方书面同意；适用双方最终确认的争议机制。</w:t>
      </w:r>
    </w:p>
    <w:p>
      <w:pPr>
        <w:keepNext w:val="0"/>
      </w:pPr>
      <w:r>
        <w:t>10 双方授权代表签署后生效，签署空白保留。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