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设备采购框架协议</w:t>
      </w:r>
    </w:p>
    <w:p>
      <w:r>
        <w:t>稿件状态：待业务与法务确认，所有日期及金额以正文为本次拟签条件，不表示已经履约。</w:t>
      </w:r>
    </w:p>
    <w:p>
      <w:pPr>
        <w:pStyle w:val="Heading1"/>
      </w:pPr>
      <w:r>
        <w:t>1 合同主体与目的</w:t>
      </w:r>
    </w:p>
    <w:p>
      <w:r>
        <w:t>甲方为采购方澄川设备公司，乙方为供应商云衡检测公司。 双方联系人使用职务称谓，签署人授权待公司确认。本协议仅用于采购两台测试台及培训，不得扩大为与本项目无关的业务。</w:t>
      </w:r>
    </w:p>
    <w:p>
      <w:pPr>
        <w:pStyle w:val="Heading1"/>
      </w:pPr>
      <w:r>
        <w:t>2 范围、版本与材料</w:t>
      </w:r>
    </w:p>
    <w:p>
      <w:r>
        <w:t>项目资料以附件清单及双方确认版本为准。双方收到资料后记录文件名称、日期与版号；发现缺失或冲突时书面确认，不能把未知资料当已提供。业务范围或交付要求变更须有双方书面变更单。</w:t>
      </w:r>
    </w:p>
    <w:p>
      <w:pPr>
        <w:pStyle w:val="Heading1"/>
      </w:pPr>
      <w:r>
        <w:t>3 费用与结算</w:t>
      </w:r>
    </w:p>
    <w:p>
      <w:r>
        <w:t>两台总额260000元含税，签约40%、到货40%、验收20%。 金额单位人民币元。付款按正文约定，收款以实际到账为准，发票、验收、付款分别留凭据，不能以单方完成声明替代。</w:t>
      </w:r>
    </w:p>
    <w:p>
      <w:pPr>
        <w:pStyle w:val="Heading1"/>
      </w:pPr>
      <w:r>
        <w:t>4 周期与协作</w:t>
      </w:r>
    </w:p>
    <w:p>
      <w:r>
        <w:t>确认规格后45日到货，培训到货后7日安排。 双方各指定一名项目负责人，书面通知渠道为企业工作邮箱；私人联系方式不写入本稿。每次会议记录明确决定、未决事项和责任期限。</w:t>
      </w:r>
    </w:p>
    <w:p>
      <w:pPr>
        <w:pStyle w:val="Heading1"/>
      </w:pPr>
      <w:r>
        <w:t>5 交付与风险</w:t>
      </w:r>
    </w:p>
    <w:p>
      <w:r>
        <w:t>供应商负责包装与运输，设备到客户指定仓库交接后转移保管风险，安装调试由供应商安排。</w:t>
      </w:r>
    </w:p>
    <w:p>
      <w:pPr>
        <w:pStyle w:val="Heading1"/>
      </w:pPr>
      <w:r>
        <w:t>6 验收</w:t>
      </w:r>
    </w:p>
    <w:p>
      <w:r>
        <w:t>客户到货后10工作日按型号、数量和确认性能表验收。客户可提出任何新指标，供应商免费完成且不延长工期。</w:t>
      </w:r>
    </w:p>
    <w:p>
      <w:pPr>
        <w:pStyle w:val="Heading1"/>
      </w:pPr>
      <w:r>
        <w:t>7 保修</w:t>
      </w:r>
    </w:p>
    <w:p>
      <w:r>
        <w:t>正常使用保修12个月；草稿要求供应商同时承担误用、拆修和所有第三方软件不兼容，现场网络条件无限制。</w:t>
      </w:r>
    </w:p>
    <w:p>
      <w:pPr>
        <w:pStyle w:val="Heading1"/>
      </w:pPr>
      <w:r>
        <w:t>8 责任</w:t>
      </w:r>
    </w:p>
    <w:p>
      <w:r>
        <w:t>供应商迟延每日0.02%，采购方付款迟延未列责任。对任何间接损失供应商不设上限。</w:t>
      </w:r>
    </w:p>
    <w:p>
      <w:pPr>
        <w:pStyle w:val="Heading1"/>
      </w:pPr>
      <w:r>
        <w:t>9 未决事项</w:t>
      </w:r>
    </w:p>
    <w:p>
      <w:r>
        <w:t>现场网络和电源条件清单还需客户提供；签订附件前不以本稿推断现场满足。</w:t>
      </w:r>
    </w:p>
    <w:p>
      <w:pPr>
        <w:pStyle w:val="Heading1"/>
      </w:pPr>
      <w:r>
        <w:t>10 资料与既有知识产权</w:t>
      </w:r>
    </w:p>
    <w:p>
      <w:r>
        <w:t>双方各自已有资料、软件和技术归原权利人。资料提供仅授权为本项目使用，未经授权不得向无关第三方披露。联合成果归属以专章约定，不因付款自动转让所有既有权利。</w:t>
      </w:r>
    </w:p>
    <w:p>
      <w:pPr>
        <w:pStyle w:val="Heading1"/>
      </w:pPr>
      <w:r>
        <w:t>11 通知、争议与文本</w:t>
      </w:r>
    </w:p>
    <w:p>
      <w:r>
        <w:t>书面通知由项目负责人保存，涉及价款、范围和责任变更须由授权人确认。争议先由双方管理层协调；未解决时按双方最终确认的争议条款办理。附件与正文冲突以双方书面确认文件为准，不自动把较晚文件认作已获双方同意。</w:t>
      </w:r>
    </w:p>
    <w:p>
      <w:pPr>
        <w:pStyle w:val="Heading1"/>
      </w:pPr>
      <w:r>
        <w:t>12 生效与签署</w:t>
      </w:r>
    </w:p>
    <w:p>
      <w:r>
        <w:t>本稿需双方法定代表人或授权代表签署后生效；本次文稿中的空白签署位只用于待签安排，不表示已经签署。合同正文、业务条件、附件和版本记录应当一并保存。</w:t>
      </w:r>
    </w:p>
    <w:p>
      <w:pPr>
        <w:keepNext/>
      </w:pPr>
      <w:r>
        <w:t>甲方授权代表：______  日期：______</w:t>
      </w:r>
    </w:p>
    <w:p>
      <w:pPr>
        <w:keepNext w:val="0"/>
      </w:pPr>
      <w:r>
        <w:t>乙方授权代表：______  日期：______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Arial" w:hAnsi="Arial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