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“北辰企业协同平台- KM”软件技术服务合同</w:t>
      </w:r>
    </w:p>
    <w:p>
      <w:r>
        <w:t>服务接受方：上海爻生生物科技有限公司</w:t>
      </w:r>
    </w:p>
    <w:p>
      <w:r>
        <w:t>服务提供方：北辰科技公司</w:t>
      </w:r>
    </w:p>
    <w:p>
      <w:r>
        <w:t>签订地点：上海市浦东新区</w:t>
      </w:r>
    </w:p>
    <w:p>
      <w:r>
        <w:t>签订时间：2026年5月【】日</w:t>
      </w:r>
    </w:p>
    <w:p>
      <w:r>
        <w:t>甲方（服务接受方、委托方）</w:t>
      </w:r>
    </w:p>
    <w:p>
      <w:r>
        <w:t>名称：上海爻生生物科技有限公司</w:t>
      </w:r>
    </w:p>
    <w:p>
      <w:r>
        <w:t>注册地址：[地址去标识]</w:t>
      </w:r>
    </w:p>
    <w:p>
      <w:r>
        <w:t>乙方（服务提供方、开发方）</w:t>
      </w:r>
    </w:p>
    <w:p>
      <w:r>
        <w:t>名称：北辰科技公司</w:t>
      </w:r>
    </w:p>
    <w:p>
      <w:r>
        <w:t>注册地址：[地址去标识]</w:t>
      </w:r>
    </w:p>
    <w:p>
      <w:r>
        <w:t>甲方系一家专注于【    】研发、生产、销售与提供技术服务的公司，深耕马克斯克鲁维酵母（以下简称“KM”）领域多年；乙方系一家专注于人工智能、智能体系统研发与数字化软件开发的科技公司，已自主研发形成AI多智能体引擎系统（以下简称“北辰企业协同平台”），并具备基于北辰企业协同平台为特定行业、特定场景提供定制化开发、部署及技术服务能力；现双方经平等自愿协商，根据《中华人民共和国民法典》及相关法规，就北辰企业协同平台系统授权、具体应用定制化开发、部署交付等事项，签订本合同以共同遵守。</w:t>
      </w:r>
    </w:p>
    <w:p>
      <w:r>
        <w:t>1.合作模式</w:t>
      </w:r>
    </w:p>
    <w:p>
      <w:r>
        <w:t>1.1乙方同意在本合同约定的授权期限及授权范围内，向甲方提供北辰企业协同平台的软件技术服务。甲方可在约定用户数量、部署环境、业务场景及使用范围内使用北辰企业协同平台系统功能。</w:t>
      </w:r>
    </w:p>
    <w:p>
      <w:r>
        <w:t>1.2在前述1.1约定北辰企业协同平台授权基础上，乙方可根据甲方需求，为甲方提供定制化应用开发服务，开发内容包括定制KM场景系统前端交互界面、定制KM场景技能（以下简称“Skills”）、定制KM场景AI模型上下文协议服务（以下简称“MCP”）工具集。</w:t>
      </w:r>
    </w:p>
    <w:p>
      <w:r>
        <w:t>1.3在完成前述1.1约定的北辰企业协同平台授权及1.2条定制开发的前提下，乙方同意为甲方提供相关软件的部署、运行维护服务。具体包括北辰企业协同平台环境搭建、数据初始化、对系统运行状态进行监控，保障系统稳定运行，按照约定周期进行数据备份，并在发生数据异常时提供数据恢复支持等。</w:t>
      </w:r>
    </w:p>
    <w:p>
      <w:r>
        <w:t>2.北辰企业协同平台系统软件技术服务</w:t>
      </w:r>
    </w:p>
    <w:p>
      <w:r>
        <w:t>2.1乙方同意在本合同约定的授权期限、授权范围及授权费用支付完成的前提下，向甲方授予北辰企业协同平台的一般许可使用权。授权包括甲方在约定范围内使用多数据知识库接入、多智能体动态调度、长文本深度理解及全链路上下文记忆的高性能推理核心。</w:t>
      </w:r>
    </w:p>
    <w:p>
      <w:r>
        <w:t>2.2北辰企业协同平台以混淆后二进制产物形式交付于甲方使用，但不公开源代码。北辰企业协同平台及其源代码、目标代码、算法、架构设计、系统框架、模型调度机制、技术文档、技术秘密等全部知识产权归乙方所有。</w:t>
      </w:r>
    </w:p>
    <w:p>
      <w:r>
        <w:t>2.3未经乙方书面许可，甲方不得对北辰企业协同平台进行反向工程、反编译、反汇编、尝试获取源代码或核心算法，不得对北辰企业协同平台进行修改、复制、传播、出租、出借、转授权、二次开发，亦不得通过任何方式绕过北辰企业协同平台的技术保护措施。</w:t>
      </w:r>
    </w:p>
    <w:p>
      <w:r>
        <w:t>2.4双方确认，北辰企业协同平台属于乙方既有产品及自有核心技术，不属于本合同项下委托开发成果。乙方按本合同约定向甲方授权使用权，不向甲方转让北辰企业协同平台的所有权、源代码、底层算法、系统架构、模型调度逻辑及其他相关知识产权。乙方基于北辰企业协同平台为甲方特定业务场景进行适配、开发和交付定制化开发成果，具体范围以本合同及附件《开发工作清单》约定为准。</w:t>
      </w:r>
    </w:p>
    <w:p>
      <w:r>
        <w:t>3.定制化应用开发服务</w:t>
      </w:r>
    </w:p>
    <w:p>
      <w:r>
        <w:t>3.1 乙方基于北辰企业协同平台的功能及甲方需求，为甲方提供定制化应用开发服务，开发的软件名称为：北辰企业协同平台-KM（一期 V1.0）（以下简称“北辰企业协同平台-KM”）基本运行逻辑如下：</w:t>
      </w:r>
    </w:p>
    <w:p>
      <w:r>
        <w:t>(架构图仅供参考，不作为最终交付标准，具体接入数据源以核心模块约定为准)</w:t>
      </w:r>
    </w:p>
    <w:p>
      <w:r>
        <w:t>3.2 核心功能及模块：</w:t>
      </w:r>
    </w:p>
    <w:p>
      <w:r>
        <w:t>3.2.1 基于北辰企业协同平台引擎的定制开发的KM工作流与技能Skills：此模块定义了从序列确定到工程策略生成的完整逻辑链条。乙方需将该工作流的源码交付至甲方，相关知识产权归甲方所有。具体包括：</w:t>
      </w:r>
    </w:p>
    <w:p>
      <w:r>
        <w:t>3.2.2 基于北辰企业协同平台引擎的定制开发的数据库查询与序列分析MCP工具集：这部分工具负责生物数据相关信息的获取与基础的比对计算。乙方需将该工具集的源码交付至甲方，相关知识产权归甲方所有。具体包括：</w:t>
      </w:r>
    </w:p>
    <w:p>
      <w:r>
        <w:t>3.2.3 基于北辰企业协同平台引擎的定制开发的蛋白特征预测MCP工具集：此模块利用深度学习模型或统计学算法预测蛋白的生物物理性质。乙方需将该工具集的源码交付至甲方，相关知识产权归甲方所有。具体包括：</w:t>
      </w:r>
    </w:p>
    <w:p>
      <w:r>
        <w:t>3.3 操作界面要求：系统基于北辰企业协同平台多智能体协同引擎深度定制引擎，构建集知识管理与智能分析于一体的三栏交互工作台。该工作台左侧集成项目工作区，用于各类结构化文档管理与检索；中间区域提供流式对话窗口，支持用户直接上传实验数据文件（如 CSV、Excel）并与 AI 进行多轮交互；右侧区域则作为 动态分析视图，实时预览Docs、Markdown、Excel文件。</w:t>
      </w:r>
    </w:p>
    <w:p>
      <w:r>
        <w:t>3.4 使用场景目标</w:t>
      </w:r>
    </w:p>
    <w:p>
      <w:r>
        <w:t>3.4.1 使用场景1:（1） 北辰企业协同平台-KM支持完成用户的单步骤任务:用户可以上传文件和提交任务描述(即聊天文本);（2）北辰企业协同平台-KM 基于用户的任务描述和上传的数据，使用相关工具以及其他相关的知识数据去执行和完成用户任务;（3）北辰企业协同平台-KM提供给用户执行结果(结果的返回具体形式:1聊天框内回复用户;2提供结果文件的访问和下载)。</w:t>
      </w:r>
    </w:p>
    <w:p>
      <w:r>
        <w:t>3.4.2 使用场景2: 北辰企业协同平台-KM支持对用户历史任务的再次沟通和交互:对于同一个任务， 北辰企业协同平台-KM可以基于之前执行结果，使用相关工具以及其他的知识数据进一步执行和完成用户任务。</w:t>
      </w:r>
    </w:p>
    <w:p>
      <w:r>
        <w:t>3.4.3 使用场景3:  支持用户和 北辰企业协同平台-KM基于知识库的回答。用户提问可自动关联知识库内容，系统从个人知识库中检索相关信息，生成回答。</w:t>
      </w:r>
    </w:p>
    <w:p>
      <w:r>
        <w:t>3.5 系统性能指标（基于阿里云4C8G服务器配置）：</w:t>
      </w:r>
    </w:p>
    <w:p>
      <w:r>
        <w:t>3.5.1 用户量级：总用户数 &lt;=100。</w:t>
      </w:r>
    </w:p>
    <w:p>
      <w:r>
        <w:t>3.5.2 并发支持：支持&lt;=10用户同时在线操作，在甲方提供的标准网络环境（带宽≥100M、网络延迟≤50ms）下，系统无卡顿、无崩溃。</w:t>
      </w:r>
    </w:p>
    <w:p>
      <w:r>
        <w:t>3.5.3 响应时间：核心页面加载≤2秒。</w:t>
      </w:r>
    </w:p>
    <w:p>
      <w:r>
        <w:t>3.6 定制化应用开发期限：计划于2026 年 6 月 30 日前完成北辰企业协同平台-KM（一期 V1.0）的开发及部署，甲方需在 2026 年 4 月 30 日前提供完整、明确的开发背景资料及需求确认文档，如甲方无法按时提供的，乙方开发期限相应顺延。</w:t>
      </w:r>
    </w:p>
    <w:p>
      <w:r>
        <w:t>3.7 定制开发成果</w:t>
      </w:r>
    </w:p>
    <w:p>
      <w:r>
        <w:t>UI层与定制工作流与技能（Skills）规格： 前端界面、交互逻辑及用户自定义技能均以源码交付。交付范围包括：Skills（7个）、MCP工具（14个）及包含每个skill、每个MCP工具集、UI在内的共计10项软件著作权。相关成果的知识产权归属于甲方，软件著作权明细如下：</w:t>
      </w:r>
    </w:p>
    <w:p>
      <w:r>
        <w:t>4.开发及授权使用费用</w:t>
      </w:r>
    </w:p>
    <w:p>
      <w:r>
        <w:t>4.1本合同项下费用由以下部分组成：</w:t>
      </w:r>
    </w:p>
    <w:p>
      <w:r>
        <w:t>4.1.1北辰企业协同平台授权使用费：甲方在约定期限、范围和场景内使用乙方北辰企业协同平台及相关系统能力所应支付的费用；</w:t>
      </w:r>
    </w:p>
    <w:p>
      <w:r>
        <w:t>4.1.2定制化开发服务费：乙方基于北辰企业协同平台为甲方KM场景进行定制化开发KM工作流与技能库、数据库查询与序列分析MCP工具集、蛋白特征预测MCP工具集等所应支付的费用；</w:t>
      </w:r>
    </w:p>
    <w:p>
      <w:r>
        <w:t>4.1.3部署及运维服务费：乙方为甲方提供系统部署、环境配置、上线支持、运行维护、故障响应、基础巡检及必要技术支持所应支付的费用。</w:t>
      </w:r>
    </w:p>
    <w:p>
      <w:r>
        <w:t>4.2双方确认，北辰企业协同平台授权使用费、定制化开发服务费、部署及运维服务费性质相互独立。北辰企业协同平台授权使用费不因定制化开发成果验收、知识产权归属或后续需求变更而被解释为软件所有权转让费用。</w:t>
      </w:r>
    </w:p>
    <w:p>
      <w:r>
        <w:t>4.3本合同交付的软件在部署、实际运行及使用过程中，需依赖第三方硬件底座及技术服务支持。包括但不限于云服务器租赁（如 ECS/计算实例）、云存储空间（如 OSS/对象存储、块存储、数据库存储）、AI 大模型 （包括乙方付费数据库和付费模型）（如有）token 调用、API 接口、算力资源及其他付费技术工具。因甲方使用、测试或运营该软件所产生的上述全部云资源租赁费、存储费、流量费、调用费及算力相关成本，均由甲方根据实际消耗量自行承担。该部分费用不包含在本合同约定的费用中，乙方无义务垫付、分担或补偿任何该等费用。甲方应自行与第三方服务商（如阿里云、腾讯云等）或乙方完成结算，并独立承担因服务波动或欠费停机所带来的使用风险。</w:t>
      </w:r>
    </w:p>
    <w:p>
      <w:r>
        <w:t>4.4费用调整：开发过程中因甲方需求发生变更而导致费用调整的，由双方另行签署需求变更单。需求变更单需明确变更内容、费用调整金额、交付时间顺延期限等，由双方签字盖章后生效。费用的调整亦会根据双方确认的变更单相应增减。增减费用的付款方式以变更单约定为准，如无特别约定，则增加的费用甲方需在变更单生效后 5 个工作日内一次性支付至乙方指定账户，减少的费用则从合同总价款中相应减少。</w:t>
      </w:r>
    </w:p>
    <w:p>
      <w:r>
        <w:t>4.5 北辰企业协同平台授权使用费：</w:t>
      </w:r>
    </w:p>
    <w:p>
      <w:r>
        <w:t>鉴于甲方在部署、运行及使用北辰企业协同平台-KM过程中，需依托乙方原有北辰企业协同平台实现配套适配与稳定运行，为保障北辰企业协同平台-KM持续、正常使用，乙方同意向甲方授予上述乙方原有软件技术北辰企业协同平台三年期的一般许可使用授权，对上述所述乙方原有软件技术的一般许可费用为￥69,800元（人民币：陆万玖仟捌佰元整）/年，合计费用为￥209,400元（人民币：贰拾万玖仟肆佰元整）。特别的，为保障乙方北辰企业协同平台-KM持续运行，授权期满后如乙方需要甲方同意以不高于市场公允价格和条件持续向乙方提供北辰企业协同平台授权许可，具体以双方另行签署的补充授权协议为准。</w:t>
      </w:r>
    </w:p>
    <w:p>
      <w:r>
        <w:t>4.6定制化开发服务费：</w:t>
      </w:r>
    </w:p>
    <w:p>
      <w:r>
        <w:t>乙方基于北辰企业协同平台为甲方KM场景提供定制化开发服务。本次开发费用总价为：￥500,000元（人民币：伍拾万元整）。</w:t>
      </w:r>
    </w:p>
    <w:p>
      <w:r>
        <w:t>4.7部署及运维服务费：</w:t>
      </w:r>
    </w:p>
    <w:p>
      <w:r>
        <w:t>乙方为甲方提供部署及运维服务，在甲方指定或双方确认的云资源环境中完成部署、配置、上线及持续运行维护。其中一次性部署服务费为￥50,000元（人民币：伍万元整），三年期的运维服务费为￥150,000元（人民币：拾伍万元整），合计费用为￥200,000元（人民币：贰拾万元整）。</w:t>
      </w:r>
    </w:p>
    <w:p>
      <w:r>
        <w:t>4.8付款方式</w:t>
      </w:r>
    </w:p>
    <w:p>
      <w:r>
        <w:t>本合同原总价款为￥ 909,400元（人民币：玖拾万玖仟肆佰元整），现双方协商一致，乙方给予优惠￥ 100,000元，优惠后最终合同总价款为￥ 809,400元（人民币：捌拾万玖仟肆佰元整）具体付款方式如下：</w:t>
      </w:r>
    </w:p>
    <w:p>
      <w:r>
        <w:t>：￥ 5,00元（人民币：），于本合同签订后30个工作日内支付</w:t>
      </w:r>
    </w:p>
    <w:p>
      <w:r>
        <w:t>4.9乙方指定收款账号：</w:t>
      </w:r>
    </w:p>
    <w:p>
      <w:r>
        <w:t>户名：[具体收款信息去标识，待独立账户通知]</w:t>
      </w:r>
    </w:p>
    <w:p>
      <w:r>
        <w:t>账号：[具体收款信息去标识，待独立账户通知]</w:t>
      </w:r>
    </w:p>
    <w:p>
      <w:r>
        <w:t>开户行：[具体收款信息去标识，待独立账户通知]</w:t>
      </w:r>
    </w:p>
    <w:p>
      <w:r>
        <w:t>乙方未授权任何员工、第三方收款；付款方未向指定账号付款导致损失的，由付款方自行承担。</w:t>
      </w:r>
    </w:p>
    <w:p>
      <w:r>
        <w:t>4.10 发票</w:t>
      </w:r>
    </w:p>
    <w:p>
      <w:r>
        <w:t>乙方应向甲方提供正规足额增值税专用发票，本合同约定价格为含税价，增值税率为1%（百分之一）。发票信息如下：</w:t>
      </w:r>
    </w:p>
    <w:p>
      <w:r>
        <w:t>名称：</w:t>
      </w:r>
    </w:p>
    <w:p>
      <w:r>
        <w:t>纳税人识别号：</w:t>
      </w:r>
    </w:p>
    <w:p>
      <w:r>
        <w:t>5.开发安排</w:t>
      </w:r>
    </w:p>
    <w:p>
      <w:r>
        <w:t>5.1.委托方配合</w:t>
      </w:r>
    </w:p>
    <w:p>
      <w:r>
        <w:t>5.1.1.甲方应根据开发需求和乙方说明提供具体需求文档、背景文档（下称“开发背景资料”）等，且所提供资料需完整、明确、无歧义。</w:t>
      </w:r>
    </w:p>
    <w:p>
      <w:r>
        <w:t>5.1.2.如因甲方未提供开发背景资料，导致乙方开发延迟，乙方不承担相关违约责任。</w:t>
      </w:r>
    </w:p>
    <w:p>
      <w:r>
        <w:t>5.2.设计变更</w:t>
      </w:r>
    </w:p>
    <w:p>
      <w:r>
        <w:t>如甲方对设计方案提出变更，需以书面形式向乙方提出，乙方在收到变更申请后10 个工作日内，出具可能涉及的变更方案、费用调整及交付时间顺延等的说明，双方签署需求变更单后，乙方方可开展变更开发工作。甲方未签署变更单擅自要求乙方变更设计的，乙方有权拒绝，且开发及交付工作按原方案继续进行。</w:t>
      </w:r>
    </w:p>
    <w:p>
      <w:r>
        <w:t>6.验收</w:t>
      </w:r>
    </w:p>
    <w:p>
      <w:r>
        <w:t>6.1.验收</w:t>
      </w:r>
    </w:p>
    <w:p>
      <w:r>
        <w:t>6.1.1.上线前验收</w:t>
      </w:r>
    </w:p>
    <w:p>
      <w:r>
        <w:t>正式上线前，甲乙双方应进行上线前验收。验收标准以本合同约定的软件功能、性能指标及双方确认的需求文档为准。</w:t>
      </w:r>
    </w:p>
    <w:p>
      <w:r>
        <w:t>6.1.2.上线后30天为试运行期间。</w:t>
      </w:r>
    </w:p>
    <w:p>
      <w:r>
        <w:t>甲乙双方应根据试运行期间情况进行最终调试。试运行期间，甲方应及时反馈软件运行问题，乙方仅对软件自身功能故障进行调试，因甲方操作不当、数据导入错误等原因导致的问题，乙方可提供技术支持，相关费用由甲方承担。</w:t>
      </w:r>
    </w:p>
    <w:p>
      <w:r>
        <w:t>6.2.验收期限</w:t>
      </w:r>
    </w:p>
    <w:p>
      <w:r>
        <w:t>6.2.2.验收期间内甲方对开发软件有异议的，应以书面形式通知乙方，异议需明确列明具体问题、不符合合同约定的条款及相关依据。乙方应在收到甲方异议之日起5个工作日内提出解决方案。</w:t>
      </w:r>
    </w:p>
    <w:p>
      <w:r>
        <w:t>6.2.3.验收合格的，甲方应当签署相应阶段的验收合格文件；验收期间内甲方未签署文件亦未提出书面异议的，视为验收合格。</w:t>
      </w:r>
    </w:p>
    <w:p>
      <w:r>
        <w:t>7.不得转包</w:t>
      </w:r>
    </w:p>
    <w:p>
      <w:r>
        <w:t>乙方必须自行完成本合同约定的服务，不得将全部或部分工作交由第三方完成。</w:t>
      </w:r>
    </w:p>
    <w:p>
      <w:r>
        <w:t>8.知识产权</w:t>
      </w:r>
    </w:p>
    <w:p>
      <w:r>
        <w:t>8.1.不侵权</w:t>
      </w:r>
    </w:p>
    <w:p>
      <w:r>
        <w:t>8.1.1甲方保证所提供的开发背景资料不侵犯任何第三方的著作权、商标权、专利权、商业秘密等；也不违反甲方与任何第三方的保密义务或有关知识产权约定。如因甲方提供的开发背景资料存在侵权问题，导致乙方遭受损失的，甲方应赔偿乙方全部经济损失（包括但不限于赔偿金、诉讼费、律师费、差旅费等）。</w:t>
      </w:r>
    </w:p>
    <w:p>
      <w:r>
        <w:t>8.1.2乙方保证所提交的开发软件不侵犯任何第三方的著作权、商标权、专利权、商业秘密等；也不违反乙方与任何第三方的保密义务或有关知识产权约定。若开发软件侵犯第三方知识产权的导致甲方遭受损失的，乙方应赔偿甲方全部经济损失（包括但不限于赔偿金、诉讼费、律师费、差旅费等）。</w:t>
      </w:r>
    </w:p>
    <w:p>
      <w:r>
        <w:t>8.2.开发软件知识产权归属</w:t>
      </w:r>
    </w:p>
    <w:p>
      <w:r>
        <w:t>8.2.1双方一致同意，基于甲方明确委托开发交付标的（即本协议约定“3.7 定制开发成果”中涉及的软件著作权）所形成的知识产权、技术秘密、技术信息等智力成果的所有权归甲方单独所有；</w:t>
      </w:r>
    </w:p>
    <w:p>
      <w:r>
        <w:t>8.2.2双方一致同意，除8.2.1条约定外，开发软件过程中如为双方共同研发创建产生的委托开发内容以外的知识产权、技术秘密、技术信息等智力成果的，则该智力成果的所有权归双方共同所有；</w:t>
      </w:r>
    </w:p>
    <w:p>
      <w:r>
        <w:t>8.3.乙方自有软件及其他第三方许可</w:t>
      </w:r>
    </w:p>
    <w:p>
      <w:r>
        <w:t>8.3.1乙方在本合同签订前已合法享有知识产权的基础模型、底层算法、框架组件（以下简称 “自有基础技术”），其权属仍归乙方独立所有。甲方为正常使用本合同项下的开发成果即“北辰企业协同平台-KM”，需配套使用乙方前述自有基础技术即“北辰企业协同平台”，乙方同意以不高于市场公允价格及通行商业惯例条件授权许可甲方使用，具体以本协议约定的授权许可使用费为准。</w:t>
      </w:r>
    </w:p>
    <w:p>
      <w:r>
        <w:t>9.保密</w:t>
      </w:r>
    </w:p>
    <w:p>
      <w:r>
        <w:t>9.1 甲乙双方保证对在讨论、签订、履行本合同过程中所获悉的属于对方及对方关联方的且无法自公开渠道获取的保密信息予以保密。未经对方同意，双方不得超出本合同约定的目的和范围使用保密信息，不得向任何第三方泄露该信息的全部或部分内容，否则应承担给对方造成的损失。赔偿损失包括但不限于直接经济损失、间接经济损失、维权产生的诉讼费、律师费、差旅费等。</w:t>
      </w:r>
    </w:p>
    <w:p>
      <w:r>
        <w:t>上述保密义务，在本合同终止或解除之后仍需履行，保密期限为本合同终止或解除之日起 10年。</w:t>
      </w:r>
    </w:p>
    <w:p>
      <w:r>
        <w:t>9.2 保密信息是指信息披露方向信息接收方在本合同签订之前或之后披露的任何非公开的信息，不论书面、口头或其他形式，包括但不限于作品、技术及经营的相关信息。作品相关信息包括艺术作品原作、照片、草稿、参数；技术信息包括技术、设计、图样、译文、图标、模型、制程、计数法、软件程序、软件来源文件、有关研究与实验工作的记录或成果等；经营信息包括营运信息、投标文件、财务/业务数据、人事数据、采购资料、客户资料或销售数据、项目组及科研人员信息、未公开的科技成果信息、技术秘密、未公开发表的科研数据等。</w:t>
      </w:r>
    </w:p>
    <w:p>
      <w:r>
        <w:t>10.违约责任</w:t>
      </w:r>
    </w:p>
    <w:p>
      <w:r>
        <w:t>10.1 甲方逾期付款的，每逾期一天，应按逾期金额的5‱（万分之五）向乙方支付违约金，同时仍应履行付款义务。</w:t>
      </w:r>
    </w:p>
    <w:p>
      <w:r>
        <w:t>10.2 如因甲方未在规定的期限内提供基础资料导致乙方逾期开展工作的，乙方不承担违约责任，相应软件交付日期顺延。</w:t>
      </w:r>
    </w:p>
    <w:p>
      <w:r>
        <w:t>10.3 乙方有下列情形之一的，甲方有权解除本合同，因甲方原因、不可抗力导致的逾期除外：</w:t>
      </w:r>
    </w:p>
    <w:p>
      <w:r>
        <w:t>（1）逾期交付超过15天的；</w:t>
      </w:r>
    </w:p>
    <w:p>
      <w:r>
        <w:t>（2）乙方违约，经甲方通知后15天仍不改正的；</w:t>
      </w:r>
    </w:p>
    <w:p>
      <w:r>
        <w:t>（3）连续两次因乙方技术原因导致验收仍不合格的；</w:t>
      </w:r>
    </w:p>
    <w:p>
      <w:r>
        <w:t>（4）乙方有其他违约行为，依照法定或约定甲方有权解除的。</w:t>
      </w:r>
    </w:p>
    <w:p>
      <w:r>
        <w:t>10.4 因乙方原因导致甲方解除本合同的，乙方应当同时承担下列责任：</w:t>
      </w:r>
    </w:p>
    <w:p>
      <w:r>
        <w:t>退还甲方已经支付的开发费用。</w:t>
      </w:r>
    </w:p>
    <w:p>
      <w:r>
        <w:t>但是，经甲方同意接收、使用乙方已完成的部分开发软件的，该部分开发软件的开发费用应正常结算，不予返还。</w:t>
      </w:r>
    </w:p>
    <w:p>
      <w:r>
        <w:t>（2）本合同约定的其他违约责任。</w:t>
      </w:r>
    </w:p>
    <w:p>
      <w:r>
        <w:t>10.5 任何一方有其他违反本合同情形的，应赔偿守约方全部损失。</w:t>
      </w:r>
    </w:p>
    <w:p>
      <w:r>
        <w:t>11.合同联系方式</w:t>
      </w:r>
    </w:p>
    <w:p>
      <w:r>
        <w:t>11.1 甲方项目联系人</w:t>
      </w:r>
    </w:p>
    <w:p>
      <w:r>
        <w:t>11.1.1 甲方确认如下项目联系信息：</w:t>
      </w:r>
    </w:p>
    <w:p>
      <w:r>
        <w:t>联系人：</w:t>
      </w:r>
    </w:p>
    <w:p>
      <w:r>
        <w:t>地址：[地址去标识]</w:t>
      </w:r>
    </w:p>
    <w:p>
      <w:r>
        <w:t>11.1.2 甲方确认，甲方项目联系人的权限仅限于下列：</w:t>
      </w:r>
    </w:p>
    <w:p>
      <w:r>
        <w:t>（1）代表甲方提交、接受项目有关资料、文档、工作成果。</w:t>
      </w:r>
    </w:p>
    <w:p>
      <w:r>
        <w:t>（2）代表甲方对服务提出意见。</w:t>
      </w:r>
    </w:p>
    <w:p>
      <w:r>
        <w:t>（3）代表甲方验收乙方提供的工作成果与服务。</w:t>
      </w:r>
    </w:p>
    <w:p>
      <w:r>
        <w:t>（4）代表甲方确认服务工作量及结算服务费用。</w:t>
      </w:r>
    </w:p>
    <w:p>
      <w:r>
        <w:t>11.2 乙方项目联系人</w:t>
      </w:r>
    </w:p>
    <w:p>
      <w:r>
        <w:t>11.2.1 乙方确认如下项目联系信息：</w:t>
      </w:r>
    </w:p>
    <w:p>
      <w:r>
        <w:t>联系人：研发负责人</w:t>
      </w:r>
    </w:p>
    <w:p>
      <w:r>
        <w:t>地址：[地址去标识]</w:t>
      </w:r>
    </w:p>
    <w:p>
      <w:r>
        <w:t>11.2.2 乙方确认，乙方项目联系人的权限仅限于下列：</w:t>
      </w:r>
    </w:p>
    <w:p>
      <w:r>
        <w:t>（1）代表乙方提交、接受项目有关资料、文档、工作成果。</w:t>
      </w:r>
    </w:p>
    <w:p>
      <w:r>
        <w:t>（2）代表乙方对服务进行沟通、提出意见。</w:t>
      </w:r>
    </w:p>
    <w:p>
      <w:r>
        <w:t>（3）代表乙方确认服务工作量及结算服务费用。</w:t>
      </w:r>
    </w:p>
    <w:p>
      <w:r>
        <w:t>11.4 双方确认上述联系方式同时作为有效司法送达地址。</w:t>
      </w:r>
    </w:p>
    <w:p>
      <w:r>
        <w:t>12.其他约定</w:t>
      </w:r>
    </w:p>
    <w:p>
      <w:r>
        <w:t>12.1 不可抗力</w:t>
      </w:r>
    </w:p>
    <w:p>
      <w:r>
        <w:t>12.1.1 不可抗力定义：指在本合同签署后发生的、本合同签署时不能预见的、其发生与后果是无法避免或克服的、妨碍任何一方全部或部分履约的所有事件。上述事件包括地震、台风、水灾、火灾、战争、国际或国内运输中断、流行病、罢工，以及根据中国法律或一般国际商业惯例认作不可抗力的其他事件。一方缺少资金非为不可抗力事件。</w:t>
      </w:r>
    </w:p>
    <w:p>
      <w:r>
        <w:t>12.1.2 不可抗力的后果：</w:t>
      </w:r>
    </w:p>
    <w:p>
      <w:r>
        <w:t>（1）如果发生不可抗力事件，影响一方履行其在本合同项下的义务，则在不可抗力造成的延误期内中止履行，而不视为违约。</w:t>
      </w:r>
    </w:p>
    <w:p>
      <w:r>
        <w:t>（2）宣称发生不可抗力的一方应迅速书面通知其他方，并在其后的十五(15)天内提供证明不可抗力发生及其持续时间的足够证据。</w:t>
      </w:r>
    </w:p>
    <w:p>
      <w:r>
        <w:t>（3）如果发生不可抗力事件，双方应立即互相协商，以找到公平的解决办法，并且应尽一切合理努力将不可抗力的影响减少到最低限度。</w:t>
      </w:r>
    </w:p>
    <w:p>
      <w:r>
        <w:t>（4）金钱债务的迟延责任不得因不可抗力而免除。</w:t>
      </w:r>
    </w:p>
    <w:p>
      <w:r>
        <w:t>（5）迟延履行期间发生的不可抗力不具有免责效力。</w:t>
      </w:r>
    </w:p>
    <w:p>
      <w:r>
        <w:t>13.争议解决</w:t>
      </w:r>
    </w:p>
    <w:p>
      <w:r>
        <w:t>因本合同以及本合同项下订单/附件/补充协议等（如有）引起或有关的任何争议，由合同双方协商解决，也可由有关部门调解。协商或调解不成的，应向甲方所在地有管辖权的人民法院起诉。</w:t>
      </w:r>
    </w:p>
    <w:p>
      <w:r>
        <w:t>14.附则</w:t>
      </w:r>
    </w:p>
    <w:p>
      <w:r>
        <w:t>14.1 本合同一式二份，合同双方各执一份。各份合同文本具有同等法律效力。</w:t>
      </w:r>
    </w:p>
    <w:p>
      <w:r>
        <w:t>14.2 本合同未尽事宜，双方应另行协商并签订补充协议。</w:t>
      </w:r>
    </w:p>
    <w:p>
      <w:r>
        <w:t>14.3 本合同包含如下附件：开发工作清单</w:t>
      </w:r>
    </w:p>
    <w:p>
      <w:r>
        <w:t>上述附件是本合同的一部分，具有与本合同同等的法律效力。</w:t>
      </w:r>
    </w:p>
    <w:p>
      <w:r>
        <w:t>14.4 本合同经双方签名或盖章后生效。</w:t>
      </w:r>
    </w:p>
    <w:p>
      <w:pPr>
        <w:keepNext/>
      </w:pPr>
      <w:r>
        <w:t>甲方（盖章）：</w:t>
      </w:r>
    </w:p>
    <w:p>
      <w:r>
        <w:t>签订时间：    年    月    日</w:t>
      </w:r>
    </w:p>
    <w:p>
      <w:pPr>
        <w:keepNext/>
      </w:pPr>
      <w:r>
        <w:t>乙方（盖章）：</w:t>
      </w:r>
    </w:p>
    <w:p>
      <w:r>
        <w:t>签订时间：    年    月    日</w:t>
      </w:r>
    </w:p>
    <w:p>
      <w:r>
        <w:t>附件：开发工作清单</w:t>
      </w:r>
    </w:p>
    <w:p>
      <w:r>
        <w:t>技能名称 | 功能描述 | 核心输出参数 (next_step_payload)</w:t>
      </w:r>
    </w:p>
    <w:p>
      <w:r>
        <w:t>马克斯克鲁维酵母工程实验总路由 | 总路由 | 协调各步骤跳转与全局状态管理</w:t>
      </w:r>
    </w:p>
    <w:p>
      <w:r>
        <w:t>蛋白表达构建设计与方案生成 | 确定目标蛋白氨基酸及核苷酸序列 | aa_sequence, cds_sequence</w:t>
      </w:r>
    </w:p>
    <w:p>
      <w:r>
        <w:t>启动子与信号肽筛选与量产假设生成 | 调控元件选择与分泌表达优化 | construct_summary</w:t>
      </w:r>
    </w:p>
    <w:p>
      <w:r>
        <w:t>底盘菌株筛选与量产假设生成 | 适配最佳生产宿主并提出产量假设 | chassis, yield_hypothesis</w:t>
      </w:r>
    </w:p>
    <w:p>
      <w:r>
        <w:t>组学数据解析与表达瓶颈识别 | 挖掘多组学瓶颈，提出机理解释 | bottlenecks, mechanism_hypotheses</w:t>
      </w:r>
    </w:p>
    <w:p>
      <w:r>
        <w:t>工程改造策略生成与实验规划 | 生成迭代策略、实验计划及决策缺口 | strategies, next_experiments, decision_gaps</w:t>
      </w:r>
    </w:p>
    <w:p>
      <w:r>
        <w:t>科研流程与机理图智能生成 | 可视化 | 生成流程图、机理图或数据图表</w:t>
      </w:r>
    </w:p>
    <w:p>
      <w:r>
        <w:t>分类 | 工具名 (Function) | 数据源 / 实现 | 核心功能</w:t>
      </w:r>
    </w:p>
    <w:p>
      <w:r>
        <w:t>数据库查询 | alphafold_fetch | AlphaFold DB | 获取预测结构及 pLDDT 置信度</w:t>
      </w:r>
    </w:p>
    <w:p>
      <w:r>
        <w:t>数据库查询 | uniprot_fetch | UniProt REST | 蛋白注释、GO 功能、序列查询</w:t>
      </w:r>
    </w:p>
    <w:p>
      <w:r>
        <w:t>数据库查询 | pdb_fetch | RCSB PDB | 实验解析结构元数据与序列获取</w:t>
      </w:r>
    </w:p>
    <w:p>
      <w:r>
        <w:t>数据库查询 | ncbi_protein_search | NCBI E-utils | 蛋白序列搜索 (esearch + efetch)</w:t>
      </w:r>
    </w:p>
    <w:p>
      <w:r>
        <w:t>数据库查询 | pubmed_search | PubMed | 文献搜索与摘要获取</w:t>
      </w:r>
    </w:p>
    <w:p>
      <w:r>
        <w:t>序列分析 | blast_search | NCBI BLAST | 远程序列同源性搜索</w:t>
      </w:r>
    </w:p>
    <w:p>
      <w:r>
        <w:t>序列分析 | emboss_water_align | 本地 Smith-Waterman | 局部双序列比对 (支持 BLOSUM62 等)</w:t>
      </w:r>
    </w:p>
    <w:p>
      <w:r>
        <w:t>序列分析 | clustal_align | ClustalOmega | 多序列渐进式比对</w:t>
      </w:r>
    </w:p>
    <w:p>
      <w:r>
        <w:t>序列分析 | protparam_analyze | BioPython | 计算 MW, pI, 不稳定指数, GRAVY</w:t>
      </w:r>
    </w:p>
    <w:p>
      <w:r>
        <w:t>工具名 (Function) | 服务来源 / 模型 | 核心预测功能</w:t>
      </w:r>
    </w:p>
    <w:p>
      <w:r>
        <w:t>protscale_analyze | BioPython | 生成逐残基疏水性/理化性质图谱</w:t>
      </w:r>
    </w:p>
    <w:p>
      <w:r>
        <w:t>signalp_predict | SignalP-6.0 | 信号肽预测 (Sec/Tat/SP/LIPO)</w:t>
      </w:r>
    </w:p>
    <w:p>
      <w:r>
        <w:t>targetp_predict | TargetP-2.0 | 亚细胞靶向肽 (SP/mTP/cTP/luTP)</w:t>
      </w:r>
    </w:p>
    <w:p>
      <w:r>
        <w:t>deeploc_predict | DeepLoc-2.0 | 多标签亚细胞定位预测</w:t>
      </w:r>
    </w:p>
    <w:p>
      <w:r>
        <w:t>tmhmm_predict | TMHMM-2.0 | 跨膜螺旋域数量与拓扑结构预测</w:t>
      </w:r>
    </w:p>
    <w:p>
      <w:r>
        <w:t>软件著作权名称 | 分类</w:t>
      </w:r>
    </w:p>
    <w:p>
      <w:r>
        <w:t>Evomind-KM马克斯克鲁维酵母智能科研平台 | Evomind-KM UI</w:t>
      </w:r>
    </w:p>
    <w:p>
      <w:r>
        <w:t>Evomind-KM马克斯克鲁维酵母工程实验总路由技能软件 | Evomind-KM Skills</w:t>
      </w:r>
    </w:p>
    <w:p>
      <w:r>
        <w:t>Evomind-KM启动子与信号肽筛选优化技能软件 | Evomind-KM Skills</w:t>
      </w:r>
    </w:p>
    <w:p>
      <w:r>
        <w:t>Evomind-KM底盘菌株筛选与产量假设生成技能软件 | Evomind-KM Skills</w:t>
      </w:r>
    </w:p>
    <w:p>
      <w:r>
        <w:t>Evomind-KM蛋白表达构建设计与方案生成技能软件 | Evomind-KM Skills</w:t>
      </w:r>
    </w:p>
    <w:p>
      <w:r>
        <w:t>Evomind-KM组学数据解析与表达瓶颈识别技能软件 | Evomind-KM Skills</w:t>
      </w:r>
    </w:p>
    <w:p>
      <w:r>
        <w:t>Evomind-KM工程改造策略生成与实验规划技能软件 | Evomind-KM Skills</w:t>
      </w:r>
    </w:p>
    <w:p>
      <w:r>
        <w:t>Evomind-KM科研流程与机理图智能生成技能软件 | Evomind-KM Skills</w:t>
      </w:r>
    </w:p>
    <w:p>
      <w:r>
        <w:t>Evomind-KM生物数据库查询与蛋白序列分析工具集软件 | Evomind-KM ；MCP工具集</w:t>
      </w:r>
    </w:p>
    <w:p>
      <w:r>
        <w:t>Evomind-KM蛋白理化性质与亚细胞定位预测工具集软件 | Evomind-KM；MCP 工具集</w:t>
      </w:r>
    </w:p>
    <w:p>
      <w:r>
        <w:t>类别 | 页面/模块 | 功能 | 功能介绍</w:t>
      </w:r>
    </w:p>
    <w:p>
      <w:r>
        <w:t>前端交互页面 （用户端） | 用户注册登录页 | 隐私政策浏览 | 1、隐私和政策的阅读和浏览，前端展示静态隐私政策页面，内容由甲方提供，不支持动态更新；2、验收标准：点击隐私政策入口，能正常打开并展示甲方提供的静态文本内容</w:t>
      </w:r>
    </w:p>
    <w:p>
      <w:r>
        <w:t>前端交互页面 （用户端） | 基础模块 | 人格设定页面 | 1、支持北辰企业协同平台-KM的人格设定修改（名称，身份、性格）；2、验收标准：修改名称、身份、性格并保存后，后续对话中生效</w:t>
      </w:r>
    </w:p>
    <w:p>
      <w:r>
        <w:t>前端交互页面 （用户端） | 基础模块 | 技能广场页面 | 展示系统内置和用户安装的技能列表，用户可以选择技能并使用。不支持用户自定义上传技能到技能广场；验收标准：能正常加载技能列表，点击“使用”按钮能成功将技能应用至当前会话</w:t>
      </w:r>
    </w:p>
    <w:p>
      <w:r>
        <w:t>前端交互页面 （用户端） | 项目工作区管理系统 | 公共工作区 | 支持文件添加到公共工作区，支持文件重命名、删除（物理）操作；能成功上传文件至公共区；能对文件进行重命名和删除</w:t>
      </w:r>
    </w:p>
    <w:p>
      <w:r>
        <w:t>前端交互页面 （用户端） | 项目工作区管理系统 | 项目工作区 | 支持个人交互的产物加入项目工作区，支持产物的下载；验收标准：能将AI对话产物成功添加至项目区；产物能下载</w:t>
      </w:r>
    </w:p>
    <w:p>
      <w:r>
        <w:t>前端交互页面 （用户端） | 项目工作区管理系统 | 新建项目 | 支持项目的新建。单个用户创建项目数量受分配的云空间容量上限限制；验收标准：输入项目名称和必填信息能成功新建项目</w:t>
      </w:r>
    </w:p>
    <w:p>
      <w:r>
        <w:t>前端交互页面 （用户端） | 项目工作区管理系统 | 不同项目项目视角切换 | 支持切换不同项目；验收标准：点击不同项目，界面能成功切换至对应项目的上下文</w:t>
      </w:r>
    </w:p>
    <w:p>
      <w:r>
        <w:t>前端交互页面 （用户端） | 项目工作区管理系统 | 项目列表区支持批量文件上传和下载 | 支持单次最多勾选10个文件的上传和下载，不支持断点续传，不支持后端实时打包压缩下载，不支持文件夹上传/下载；验收标准：勾选≤10个文件能触发上传/下载流程；文件能正常传输至本地或服务器</w:t>
      </w:r>
    </w:p>
    <w:p>
      <w:r>
        <w:t>前端交互页面 （用户端） | 项目工作区管理系统 | 多层级文件以及文件夹交互 | 支持文件上传至指定文件夹。文件夹最大嵌套层级不超过5级；验收标准：能成功将文件上传至指定文件夹内；在5级层级内能正常创建和进入文件夹</w:t>
      </w:r>
    </w:p>
    <w:p>
      <w:r>
        <w:t>前端交互页面 （用户端） | AI 对话交互区 | 输入框支持文件上传 | 输入框支持上传附件，支持上传 .pdf, .docx, .md, .txt 格式文件，单文件最大不超过 2GB；验收标准：选择规定格式且大小合规的文件，能成功添加至输入框</w:t>
      </w:r>
    </w:p>
    <w:p>
      <w:r>
        <w:t>前端交互页面 （用户端） | AI 对话交互区 | 支持历史会话和新建会话 | 1、支持查看当前账号的历史对话列表及新建会话。历史会话记录保留近100条，支持手动删除单条会话；2、AI对话响应：受任务复杂度及模型能力等客观条件制约，该指标不作硬性保证；3、验收标准：点击“新建会话”能开启空白对话；点击历史会话能恢复上下文；能成功删除指定会话</w:t>
      </w:r>
    </w:p>
    <w:p>
      <w:r>
        <w:t>前端交互页面 （用户端） | AI 对话交互区 | 数据预览区域 | 1、支持AI生成的Markdown文本预览；支持上传的PDF、Word、Excel、MD文件的基础内容预览。不保证复杂排版、Excel公式计算结果、PPT及扫描版PDF的100%还原展示；2、验收标准：AI生成的Markdown内容能正常渲染展示；点击已上传文档，能弹出预览窗口并展示文档内的主要文字内容</w:t>
      </w:r>
    </w:p>
    <w:p>
      <w:r>
        <w:t>前端交互页面 （用户端） | AI 对话交互区 | 快捷指令 | 1、支持用户点击预设的LLM Wiki快捷指令发送提问。指令库由系统预置，暂不支持用户自定义增删改快捷指令；2、验收标准：点击界面上的快捷指令按钮，输入框能自动填充对应指令内容并发送</w:t>
      </w:r>
    </w:p>
    <w:p>
      <w:r>
        <w:t>前端交互页面 （用户端） | LLM Wiki知识库 | 支持LLM Wiki知识库 | 支持上传 .pdf, .docx, .md, .txt 格式文件，单文件最大不超过 2GB，单次批量上传不超过 10 个文件。支持对知识库触发后台异步重新索引（索引完成时间视文件大小和模型能力而定，不承诺完成时间）；验收标准：能使用LLM Wiki快捷指令初始化、查询和整理知识库</w:t>
      </w:r>
    </w:p>
    <w:p>
      <w:r>
        <w:t>管理功能；（管理员端） | 用户管理 | 对登录的访客进行审批 | 访客审批通过后获取访问权限；验收标准：管理员通过审核后，访客账号状态变更为正常，且该访客能正常访问系统</w:t>
      </w:r>
    </w:p>
    <w:p>
      <w:r>
        <w:t>管理功能；（管理员端） | 用户管理 | 系统人员的权限管理 | 支持收回正式人员的访问权限；验收标准：管理员执行回收操作，该用户再次访问系统时被拦截或提示无权限。</w:t>
      </w:r>
    </w:p>
    <w:p>
      <w:r>
        <w:t>管理功能；（管理员端） | 用户管理 | 用户的删除 | 支持用户删除（物理删除，用户数据无法恢复）；验收标准：执行删除操作后，该用户从列表中消失</w:t>
      </w:r>
    </w:p>
    <w:p>
      <w:r>
        <w:t>核心引擎的；定制开发 | 北辰企业协同平台-KM定制开发的Skills | 基于北辰企业协同平台改造和定制的Skills | 定制开发7个指定核心Skills（含马克斯克鲁维酵母工程实验总路由等）；验收标准：按甲方提供的标准实验数据输入，能输出符合预期格式的实验方案/结果，不包含对实验结果科学准确性的担保</w:t>
      </w:r>
    </w:p>
    <w:p>
      <w:r>
        <w:t>核心引擎的；定制开发 | 北辰企业协同平台-KM定制开发的MCP工具集 | 基于北辰企业协同平台定制的数据库查询与序列分析MCP工具集 | 1、定制开发指定的9个数据库查询/序列分析工具。基于当前第三方数据库/接口文档开发，若因第三方接口变更导致的工具失效，不在免费维保范围内；2、验收标准：触发指定工具调用，系统能向第三方接口发出请求，并正确解析返回的数据</w:t>
      </w:r>
    </w:p>
    <w:p>
      <w:r>
        <w:t>核心引擎的；定制开发 | 北辰企业协同平台-KM定制开发的MCP工具集 | 基于北辰企业协同平台定制的蛋白特征预测MCP工具集 | 定制支持研究的5个蛋白特征预测MCP工具集。基于当前第三方数据库/接口文档开发，若因第三方接口变更导致的工具失效，不在免费维保范围内；验收标准：输入蛋白序列，工具能成功运行并返回预测结果数据</w:t>
      </w:r>
    </w:p>
    <w:p>
      <w:r>
        <w:t>核心引擎的；定制开发 | 多模态处理能力 | 支持多模态文件的处理 | 支持对上传的图片、PDF、Word、PPT文件进行纯文本内容提取与解析。不支持扫描件OCR识别，不保证复杂表格与排版格式的100%还原；验收标准：上传非扫描件文档/图片，AI对话时能基于提取出的纯文本内容进行回答。</w:t>
      </w:r>
    </w:p>
    <w:p>
      <w:r>
        <w:t>核心引擎的；定制开发 | Memory能力 | 支持查看记忆 | 支持多轮对话上下文记忆，受配置的模型上下文长度限制；验收标准：在连续对话中，AI能正确提到的关键信息（如人格）</w:t>
      </w:r>
    </w:p>
    <w:p>
      <w:r>
        <w:t>核心引擎的；定制开发 | AI会话安全 | 完成AI会话基础安全 | 实现统一身份鉴权（JWT）。 提示词防注入、数据脱敏（基于关键词）；验收标准：未登录无法调用API；输入对系统危险的指令，系统能进行拦截或脱敏处理</w:t>
      </w:r>
    </w:p>
    <w:p>
      <w:r>
        <w:t>数据存储；与统计 | 数据库设计与开发 | 数据存储 | 数据存储能力的开发。不包含历史旧系统的数据迁移服务。云服务器快照服务以及数据库备份服务根据合同约定，需甲方自负；验收标准：业务操作产生的数据能正确写入数据库，且重启服务后数据不丢失</w:t>
      </w:r>
    </w:p>
    <w:p>
      <w:r>
        <w:t>数据存储；与统计 | 数据库设计与开发 | 设计数据库表 | 完成业务数据库表结构设计与开发；验收标准：核心功能无阻塞性Bug</w:t>
      </w:r>
    </w:p>
    <w:p>
      <w:r>
        <w:t>UI 设计 | 用户前端界面 | 注册登录页、北辰企业协同平台-KM系统的UI设计 | 完成前端页面的UI设计。适配主流桌面端最新版浏览器（Chrome/Edge/Safari），不包含移动端App/小程序设计，不兼容IE浏览器；验收标准：在Chrome/Edge最新版浏览器下，页面布局正常，无文字重叠、按钮遮挡等明显样式错乱</w:t>
      </w:r>
    </w:p>
    <w:p>
      <w:r>
        <w:t>UI 设计 | 用户管理界面 | 用户数据录入与查询页设计 | 完成用户管理页面的UI设计。适配主流桌面端最新版浏览器（Chrome/Edge/Safari），不包含移动端App/小程序设计，不兼容IE浏览器；验收标准：在Chrome/Edge最新版浏览器下，页面布局整齐，交互控件可见可点。</w:t>
      </w:r>
    </w:p>
    <w:p>
      <w:r>
        <w:t>测试与交付 | 测试模块 | 前后端联调测试 | 前后端联调测试；验收标准：同全流程功能测试验收标准</w:t>
      </w:r>
    </w:p>
    <w:p>
      <w:r>
        <w:t>测试与交付 | 测试模块 | 全流程功能测试 | 完成全流程功能测试。；验收标准为：基于阿里云4C8G服务器配置下，支持10个并发用户正常使用，核心功能无阻塞性Bug</w:t>
      </w:r>
    </w:p>
    <w:p>
      <w:pPr>
        <w:keepNext w:val="0"/>
      </w:pPr>
      <w:r>
        <w:t>测试与交付 | 交付模块 | 源代码交付 | 交付合同约定的前端、Skills和MCP工具的系统源代码及数据库脚本以及核心服务的部署文档，不包含任何第三方商业服务费（如大模型Token费、短信费、服务器租赁费等），相关账号及费用由甲方自行承担；验收标准：乙方向甲方移交全部约定源代码、数据库脚本及《部署操作文档》</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76" w:lineRule="auto"/>
    </w:pPr>
    <w:rPr>
      <w:rFonts w:ascii="Arial" w:hAnsi="Arial" w:eastAsia="Microsoft YaHe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Microsoft YaHe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Microsoft Ya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Microsoft YaHe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Microsoft YaHe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