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设备检测服务协议</w:t>
      </w:r>
    </w:p>
    <w:p>
      <w:r>
        <w:t>稿件状态：待业务与法务确认，所有日期及金额以正文为本次拟签条件，不表示已经履约。</w:t>
      </w:r>
    </w:p>
    <w:p>
      <w:pPr>
        <w:pStyle w:val="Heading1"/>
      </w:pPr>
      <w:r>
        <w:t>1 合同主体与目的</w:t>
      </w:r>
    </w:p>
    <w:p>
      <w:r>
        <w:t>甲方为设备委托方澄川设备公司，乙方为检测服务方云衡实验室。 双方联系人使用职务称谓，签署人授权待公司确认。本协议仅用于射频设备两型号的老化与连接稳定性检测，不得扩大为与本项目无关的业务。</w:t>
      </w:r>
    </w:p>
    <w:p>
      <w:pPr>
        <w:pStyle w:val="Heading1"/>
      </w:pPr>
      <w:r>
        <w:t>2 范围、版本与材料</w:t>
      </w:r>
    </w:p>
    <w:p>
      <w:r>
        <w:t>项目资料以附件清单及双方确认版本为准。双方收到资料后记录文件名称、日期与版号；发现缺失或冲突时书面确认，不能把未知资料当已提供。业务范围或交付要求变更须有双方书面变更单。</w:t>
      </w:r>
    </w:p>
    <w:p>
      <w:pPr>
        <w:pStyle w:val="Heading1"/>
      </w:pPr>
      <w:r>
        <w:t>3 费用与结算</w:t>
      </w:r>
    </w:p>
    <w:p>
      <w:r>
        <w:t>服务费90000元含税，50%启动、50%完整报告交付。 金额单位人民币元。付款按正文约定，收款以实际到账为准，发票、验收、付款分别留凭据，不能以单方完成声明替代。</w:t>
      </w:r>
    </w:p>
    <w:p>
      <w:pPr>
        <w:pStyle w:val="Heading1"/>
      </w:pPr>
      <w:r>
        <w:t>4 周期与协作</w:t>
      </w:r>
    </w:p>
    <w:p>
      <w:r>
        <w:t>收到合格样品及测试条件后20工作日。 双方各指定一名项目负责人，书面通知渠道为企业工作邮箱；私人联系方式不写入本稿。每次会议记录明确决定、未决事项和责任期限。</w:t>
      </w:r>
    </w:p>
    <w:p>
      <w:pPr>
        <w:pStyle w:val="Heading1"/>
      </w:pPr>
      <w:r>
        <w:t>5 检测范围</w:t>
      </w:r>
    </w:p>
    <w:p>
      <w:r>
        <w:t>样品A型号RF-01共4台，样品B型号HD-02共6台；按附件计划做72小时老化及连接稳定性记录。测试报告仅对应样品与既定条件，不认证市场准入。</w:t>
      </w:r>
    </w:p>
    <w:p>
      <w:pPr>
        <w:pStyle w:val="Heading1"/>
      </w:pPr>
      <w:r>
        <w:t>6 样品与条件</w:t>
      </w:r>
    </w:p>
    <w:p>
      <w:r>
        <w:t>甲方交样、操作说明、参数及危害提示；乙方记录入样状态。缺样或条件未确认仍自动开始计算期限。</w:t>
      </w:r>
    </w:p>
    <w:p>
      <w:pPr>
        <w:pStyle w:val="Heading1"/>
      </w:pPr>
      <w:r>
        <w:t>7 报告与原始记录</w:t>
      </w:r>
    </w:p>
    <w:p>
      <w:r>
        <w:t>乙方提供结果报告、设备状态和原始记录索引；甲方无权要求更改真实失败数据。草稿只写一份结果摘要，不列测试次数与失败记录。</w:t>
      </w:r>
    </w:p>
    <w:p>
      <w:pPr>
        <w:pStyle w:val="Heading1"/>
      </w:pPr>
      <w:r>
        <w:t>8 复测</w:t>
      </w:r>
    </w:p>
    <w:p>
      <w:r>
        <w:t>因乙方记录错误免费更正；甲方换样或变参数视为新委托，费用另确认。</w:t>
      </w:r>
    </w:p>
    <w:p>
      <w:pPr>
        <w:pStyle w:val="Heading1"/>
      </w:pPr>
      <w:r>
        <w:t>9 资料保留</w:t>
      </w:r>
    </w:p>
    <w:p>
      <w:r>
        <w:t>样品退回与剩余数据保存时长按附件确认；双方不得将该委托宣传为认证获批。</w:t>
      </w:r>
    </w:p>
    <w:p>
      <w:pPr>
        <w:pStyle w:val="Heading1"/>
      </w:pPr>
      <w:r>
        <w:t>10 资料与既有知识产权</w:t>
      </w:r>
    </w:p>
    <w:p>
      <w:r>
        <w:t>双方各自已有资料、软件和技术归原权利人。资料提供仅授权为本项目使用，未经授权不得向无关第三方披露。联合成果归属以专章约定，不因付款自动转让所有既有权利。</w:t>
      </w:r>
    </w:p>
    <w:p>
      <w:pPr>
        <w:pStyle w:val="Heading1"/>
      </w:pPr>
      <w:r>
        <w:t>11 通知、争议与文本</w:t>
      </w:r>
    </w:p>
    <w:p>
      <w:r>
        <w:t>书面通知由项目负责人保存，涉及价款、范围和责任变更须由授权人确认。争议先由双方管理层协调；未解决时按双方最终确认的争议条款办理。附件与正文冲突以双方书面确认文件为准，不自动把较晚文件认作已获双方同意。</w:t>
      </w:r>
    </w:p>
    <w:p>
      <w:pPr>
        <w:pStyle w:val="Heading1"/>
      </w:pPr>
      <w:r>
        <w:t>12 生效与签署</w:t>
      </w:r>
    </w:p>
    <w:p>
      <w:r>
        <w:t>本稿需双方法定代表人或授权代表签署后生效；本次文稿中的空白签署位只用于待签安排，不表示已经签署。合同正文、业务条件、附件和版本记录应当一并保存。</w:t>
      </w:r>
    </w:p>
    <w:p>
      <w:pPr>
        <w:keepNext/>
      </w:pPr>
      <w:r>
        <w:t>甲方授权代表：______  日期：______</w:t>
      </w:r>
    </w:p>
    <w:p>
      <w:pPr>
        <w:keepNext w:val="0"/>
      </w:pPr>
      <w:r>
        <w:t>乙方授权代表：______  日期：______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