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委托制造协议</w:t>
      </w:r>
    </w:p>
    <w:p>
      <w:r>
        <w:t>稿件状态：待业务与法务确认，所有日期及金额以正文为本次拟签条件，不表示已经履约。</w:t>
      </w:r>
    </w:p>
    <w:p>
      <w:pPr>
        <w:pStyle w:val="Heading1"/>
      </w:pPr>
      <w:r>
        <w:t>1 合同主体与目的</w:t>
      </w:r>
    </w:p>
    <w:p>
      <w:r>
        <w:t>甲方为澄川设备公司（委托方），乙方为云衡精密公司（受托制造方）。 双方联系人使用职务称谓，签署人授权待公司确认。本协议仅用于100套巡检传感器外壳按客户图纸委托加工，不得扩大为与本项目无关的业务。</w:t>
      </w:r>
    </w:p>
    <w:p>
      <w:pPr>
        <w:pStyle w:val="Heading1"/>
      </w:pPr>
      <w:r>
        <w:t>2 范围、版本与材料</w:t>
      </w:r>
    </w:p>
    <w:p>
      <w:r>
        <w:t>项目资料以附件清单及双方确认版本为准。双方收到资料后记录文件名称、日期与版号；发现缺失或冲突时书面确认，不能把未知资料当已提供。业务范围或交付要求变更须有双方书面变更单。</w:t>
      </w:r>
    </w:p>
    <w:p>
      <w:pPr>
        <w:pStyle w:val="Heading1"/>
      </w:pPr>
      <w:r>
        <w:t>3 费用与结算</w:t>
      </w:r>
    </w:p>
    <w:p>
      <w:r>
        <w:t>单价1200元，100套合计120000元含税；30%预付、70%验收。 金额单位人民币元。付款按正文约定，收款以实际到账为准，发票、验收、付款分别留凭据，不能以单方完成声明替代。</w:t>
      </w:r>
    </w:p>
    <w:p>
      <w:pPr>
        <w:pStyle w:val="Heading1"/>
      </w:pPr>
      <w:r>
        <w:t>4 周期与协作</w:t>
      </w:r>
    </w:p>
    <w:p>
      <w:r>
        <w:t>图纸确认后30日交货，图纸编号DR-26-B。 双方各指定一名项目负责人，书面通知渠道为企业工作邮箱；私人联系方式不写入本稿。每次会议记录明确决定、未决事项和责任期限。</w:t>
      </w:r>
    </w:p>
    <w:p>
      <w:pPr>
        <w:pStyle w:val="Heading1"/>
      </w:pPr>
      <w:r>
        <w:t>5 技术资料与变更</w:t>
      </w:r>
    </w:p>
    <w:p>
      <w:r>
        <w:t>甲方提供图纸，但可以随时口头改变尺寸；乙方承担所有变更费用，不延长工期。</w:t>
      </w:r>
    </w:p>
    <w:p>
      <w:pPr>
        <w:pStyle w:val="Heading1"/>
      </w:pPr>
      <w:r>
        <w:t>6 质量验收</w:t>
      </w:r>
    </w:p>
    <w:p>
      <w:r>
        <w:t>到货7工作日按图纸DR-26-B与样件检查，未回复视为全部合格。供应商承诺满足甲方全部应用场景。</w:t>
      </w:r>
    </w:p>
    <w:p>
      <w:pPr>
        <w:pStyle w:val="Heading1"/>
      </w:pPr>
      <w:r>
        <w:t>7 不合格处理</w:t>
      </w:r>
    </w:p>
    <w:p>
      <w:r>
        <w:t>由双方记录具体尺寸/批次缺陷，乙方可先返工或更换；未判定原因时，乙方需承担包括客户系统停机在内所有损失。</w:t>
      </w:r>
    </w:p>
    <w:p>
      <w:pPr>
        <w:pStyle w:val="Heading1"/>
      </w:pPr>
      <w:r>
        <w:t>8 资料与保密</w:t>
      </w:r>
    </w:p>
    <w:p>
      <w:r>
        <w:t>图纸仅本项目使用，乙方不能对外转交；原设备工艺和既有工具不转让。</w:t>
      </w:r>
    </w:p>
    <w:p>
      <w:pPr>
        <w:pStyle w:val="Heading1"/>
      </w:pPr>
      <w:r>
        <w:t>9 终止与清算</w:t>
      </w:r>
    </w:p>
    <w:p>
      <w:r>
        <w:t>项目中止后双方核已交、在制和剩余材料；草稿未规定因甲方改变图纸导致停工的已发生成本。</w:t>
      </w:r>
    </w:p>
    <w:p>
      <w:pPr>
        <w:pStyle w:val="Heading1"/>
      </w:pPr>
      <w:r>
        <w:t>10 资料与既有知识产权</w:t>
      </w:r>
    </w:p>
    <w:p>
      <w:r>
        <w:t>双方各自已有资料、软件和技术归原权利人。资料提供仅授权为本项目使用，未经授权不得向无关第三方披露。联合成果归属以专章约定，不因付款自动转让所有既有权利。</w:t>
      </w:r>
    </w:p>
    <w:p>
      <w:pPr>
        <w:pStyle w:val="Heading1"/>
      </w:pPr>
      <w:r>
        <w:t>11 通知、争议与文本</w:t>
      </w:r>
    </w:p>
    <w:p>
      <w:r>
        <w:t>书面通知由项目负责人保存，涉及价款、范围和责任变更须由授权人确认。争议先由双方管理层协调；未解决时按双方最终确认的争议条款办理。附件与正文冲突以双方书面确认文件为准，不自动把较晚文件认作已获双方同意。</w:t>
      </w:r>
    </w:p>
    <w:p>
      <w:pPr>
        <w:pStyle w:val="Heading1"/>
      </w:pPr>
      <w:r>
        <w:t>12 生效与签署</w:t>
      </w:r>
    </w:p>
    <w:p>
      <w:r>
        <w:t>本稿需双方法定代表人或授权代表签署后生效；本次文稿中的空白签署位只用于待签安排，不表示已经签署。合同正文、业务条件、附件和版本记录应当一并保存。</w:t>
      </w:r>
    </w:p>
    <w:p>
      <w:pPr>
        <w:keepNext/>
      </w:pPr>
      <w:r>
        <w:t>甲方授权代表：______  日期：______</w:t>
      </w:r>
    </w:p>
    <w:p>
      <w:pPr>
        <w:keepNext w:val="0"/>
      </w:pPr>
      <w:r>
        <w:t>乙方授权代表：______  日期：______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