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瓷砖业绩日报优化PRD</w:t>
      </w:r>
    </w:p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（2026年5月）</w:t>
      </w:r>
    </w:p>
    <w:tbl>
      <w:tblPr>
        <w:tblStyle w:val="2"/>
        <w:tblW w:w="0" w:type="auto"/>
        <w:tblInd w:w="0" w:type="dxa"/>
        <w:tblBorders>
          <w:top w:val="single" w:color="BACEFD" w:sz="0" w:space="0"/>
          <w:left w:val="single" w:color="BACEFD" w:sz="0" w:space="0"/>
          <w:bottom w:val="single" w:color="BACEFD" w:sz="0" w:space="0"/>
          <w:right w:val="single" w:color="BACEFD" w:sz="0" w:space="0"/>
          <w:insideH w:val="single" w:color="BACEFD" w:sz="0" w:space="0"/>
          <w:insideV w:val="single" w:color="BACEFD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核心目标：在现有</w:t>
            </w: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鹏霄APP、SA060及KPI看板</w:t>
            </w:r>
            <w:r>
              <w:rPr>
                <w:rFonts w:ascii="Arial" w:hAnsi="Arial" w:eastAsia="等线" w:cs="Arial"/>
                <w:b/>
                <w:sz w:val="22"/>
              </w:rPr>
              <w:t>报表框架内，精准嵌入零售商业绩与合同数据，实现渠道业绩的精细化拆分与监控。</w:t>
            </w:r>
          </w:p>
        </w:tc>
      </w:tr>
    </w:tbl>
    <w:p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项目摘要：SA060瓷砖业绩日报优化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本次优化基于现有的 </w:t>
      </w:r>
      <w:r>
        <w:rPr>
          <w:rFonts w:ascii="Arial" w:hAnsi="Arial" w:eastAsia="等线" w:cs="Arial"/>
          <w:b/>
          <w:sz w:val="22"/>
        </w:rPr>
        <w:t>SA060-瓷砖业绩日报（经销商维度）</w:t>
      </w:r>
      <w:r>
        <w:rPr>
          <w:rFonts w:ascii="Arial" w:hAnsi="Arial" w:eastAsia="等线" w:cs="Arial"/>
          <w:sz w:val="22"/>
        </w:rPr>
        <w:t xml:space="preserve"> 报表。该报表作为经销商维度销售业绩的核心监控工具，已覆盖日、月、季、年等多时间维度的业绩完成情况分析。现有</w:t>
      </w:r>
      <w:r>
        <w:rPr>
          <w:rFonts w:ascii="Arial" w:hAnsi="Arial" w:eastAsia="等线" w:cs="Arial"/>
          <w:b/>
          <w:sz w:val="22"/>
        </w:rPr>
        <w:t>零售渠道</w:t>
      </w:r>
      <w:r>
        <w:rPr>
          <w:rFonts w:ascii="Arial" w:hAnsi="Arial" w:eastAsia="等线" w:cs="Arial"/>
          <w:sz w:val="22"/>
        </w:rPr>
        <w:t>指标为全口径数据，包含 IW、辅材、梦之家等多业态业绩。为适应业务精细化管理的需求，现需将零售渠道业绩按业态维度进行拆分，单独呈现</w:t>
      </w:r>
      <w:r>
        <w:rPr>
          <w:rFonts w:ascii="Arial" w:hAnsi="Arial" w:eastAsia="等线" w:cs="Arial"/>
          <w:b/>
          <w:sz w:val="22"/>
        </w:rPr>
        <w:t>纯粹的零售商业绩</w:t>
      </w:r>
      <w:r>
        <w:rPr>
          <w:rFonts w:ascii="Arial" w:hAnsi="Arial" w:eastAsia="等线" w:cs="Arial"/>
          <w:sz w:val="22"/>
        </w:rPr>
        <w:t>（不含 IW、辅材、梦之家）。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项目目标明确：在不改变现有报表整体结构、数据源与ETL流程的前提下，于</w:t>
      </w:r>
      <w:r>
        <w:rPr>
          <w:rFonts w:ascii="Arial" w:hAnsi="Arial" w:eastAsia="等线" w:cs="Arial"/>
          <w:b/>
          <w:sz w:val="22"/>
        </w:rPr>
        <w:t>月度完成情况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季度完成情况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年度累计完成情况</w:t>
      </w:r>
      <w:r>
        <w:rPr>
          <w:rFonts w:ascii="Arial" w:hAnsi="Arial" w:eastAsia="等线" w:cs="Arial"/>
          <w:sz w:val="22"/>
        </w:rPr>
        <w:t>及</w:t>
      </w:r>
      <w:r>
        <w:rPr>
          <w:rFonts w:ascii="Arial" w:hAnsi="Arial" w:eastAsia="等线" w:cs="Arial"/>
          <w:b/>
          <w:sz w:val="22"/>
        </w:rPr>
        <w:t>年度完成情况</w:t>
      </w:r>
      <w:r>
        <w:rPr>
          <w:rFonts w:ascii="Arial" w:hAnsi="Arial" w:eastAsia="等线" w:cs="Arial"/>
          <w:sz w:val="22"/>
        </w:rPr>
        <w:t xml:space="preserve">四个板块中，新增 </w:t>
      </w:r>
      <w:r>
        <w:rPr>
          <w:rFonts w:ascii="Arial" w:hAnsi="Arial" w:eastAsia="等线" w:cs="Arial"/>
          <w:b/>
          <w:sz w:val="22"/>
        </w:rPr>
        <w:t>“零售商业绩”</w:t>
      </w:r>
      <w:r>
        <w:rPr>
          <w:rFonts w:ascii="Arial" w:hAnsi="Arial" w:eastAsia="等线" w:cs="Arial"/>
          <w:sz w:val="22"/>
        </w:rPr>
        <w:t xml:space="preserve"> 与 </w:t>
      </w:r>
      <w:r>
        <w:rPr>
          <w:rFonts w:ascii="Arial" w:hAnsi="Arial" w:eastAsia="等线" w:cs="Arial"/>
          <w:b/>
          <w:sz w:val="22"/>
        </w:rPr>
        <w:t>“零售商合同”</w:t>
      </w:r>
      <w:r>
        <w:rPr>
          <w:rFonts w:ascii="Arial" w:hAnsi="Arial" w:eastAsia="等线" w:cs="Arial"/>
          <w:sz w:val="22"/>
        </w:rPr>
        <w:t xml:space="preserve"> 两个核心指标。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新增指标将严格遵循 </w:t>
      </w:r>
      <w:r>
        <w:rPr>
          <w:rFonts w:ascii="Arial" w:hAnsi="Arial" w:eastAsia="等线" w:cs="Arial"/>
          <w:b/>
          <w:sz w:val="22"/>
        </w:rPr>
        <w:t>“紧邻现有‘零售渠道’指标列之后”</w:t>
      </w:r>
      <w:r>
        <w:rPr>
          <w:rFonts w:ascii="Arial" w:hAnsi="Arial" w:eastAsia="等线" w:cs="Arial"/>
          <w:sz w:val="22"/>
        </w:rPr>
        <w:t xml:space="preserve"> 的布局原则，确保报表结构的稳定性和用户的使用习惯不受影响。本次优化仅涉及前端展示层与后台数据计算逻辑的调整，旨在为管理层提供更精准的零售渠道业绩洞察。</w:t>
      </w:r>
    </w:p>
    <w:p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KPI报表优化：业绩分析板块-经销商情况，当筛选条件为含零售渠道时，新增零售商业绩、零售商目标完成率，当筛选条件不含零售渠道时，隐藏</w:t>
      </w:r>
    </w:p>
    <w:p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鹏霄App优化：</w:t>
      </w:r>
    </w:p>
    <w:p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渠道排名：删除渠道排名，放开运营中心限制，只要有业绩的组织就全部放出来</w:t>
      </w:r>
    </w:p>
    <w:p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子母客编业绩明细：新增零售商业绩、零售商完成率：零售商业绩</w:t>
      </w:r>
      <w:r>
        <w:rPr>
          <w:rFonts w:hint="default" w:ascii="Arial" w:hAnsi="Arial" w:eastAsia="等线" w:cs="Arial"/>
          <w:sz w:val="22"/>
          <w:lang w:val="en-US" w:eastAsia="zh-CN"/>
        </w:rPr>
        <w:t>/</w:t>
      </w:r>
      <w:r>
        <w:rPr>
          <w:rFonts w:hint="eastAsia" w:ascii="Arial" w:hAnsi="Arial" w:eastAsia="等线" w:cs="Arial"/>
          <w:sz w:val="22"/>
          <w:lang w:val="en-US" w:eastAsia="zh-CN"/>
        </w:rPr>
        <w:t>目标</w:t>
      </w:r>
    </w:p>
    <w:p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功能需求：新增指标的业务逻辑与布局</w:t>
      </w:r>
      <w:bookmarkEnd w:id="1"/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 指标定义与核心区别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在详细说明布局前，必须明确新增指标的业务含义及其与现有指标的区别：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现有"零售渠道"指标</w:t>
      </w:r>
      <w:r>
        <w:rPr>
          <w:rFonts w:ascii="Arial" w:hAnsi="Arial" w:eastAsia="等线" w:cs="Arial"/>
          <w:sz w:val="22"/>
        </w:rPr>
        <w:t>：指所有通过零售渠道产生的销售业绩汇总，包含 IW、辅材、梦之家等多业态的混合数据，是综合性的渠道总业绩指标。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新增"零售商业绩"指标</w:t>
      </w:r>
      <w:r>
        <w:rPr>
          <w:rFonts w:ascii="Arial" w:hAnsi="Arial" w:eastAsia="等线" w:cs="Arial"/>
          <w:sz w:val="22"/>
        </w:rPr>
        <w:t>：特指零售渠道中</w:t>
      </w:r>
      <w:r>
        <w:rPr>
          <w:rFonts w:ascii="Arial" w:hAnsi="Arial" w:eastAsia="等线" w:cs="Arial"/>
          <w:b/>
          <w:sz w:val="22"/>
        </w:rPr>
        <w:t>不含 IW、不含辅材、不含梦之家</w:t>
      </w:r>
      <w:r>
        <w:rPr>
          <w:rFonts w:ascii="Arial" w:hAnsi="Arial" w:eastAsia="等线" w:cs="Arial"/>
          <w:sz w:val="22"/>
        </w:rPr>
        <w:t>的纯粹零售商业绩。该指标是"零售渠道"业绩按业态拆分后的核心业务部分，用于衡量传统零售商的销售贡献。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t>：零售商业绩 = 零售渠道业绩 - IW业绩 - 辅材业绩 - 梦之家业绩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新增"零售商合同"指标</w:t>
      </w:r>
      <w:r>
        <w:rPr>
          <w:rFonts w:ascii="Arial" w:hAnsi="Arial" w:eastAsia="等线" w:cs="Arial"/>
          <w:sz w:val="22"/>
        </w:rPr>
        <w:t>：零售商业绩/合同=零售商合同完成率</w:t>
      </w: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 各板块新增位置与布局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新增指标需在以下板块的指定位置插入，确保数据联动与视觉统一。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300" w:after="120" w:line="288" w:lineRule="auto"/>
              <w:ind w:left="0"/>
              <w:jc w:val="left"/>
              <w:outlineLvl w:val="2"/>
            </w:pPr>
            <w:bookmarkStart w:id="4" w:name="heading_4"/>
            <w:r>
              <w:rPr>
                <w:rFonts w:ascii="Arial" w:hAnsi="Arial" w:eastAsia="等线" w:cs="Arial"/>
                <w:b/>
                <w:sz w:val="30"/>
              </w:rPr>
              <w:t>零售商业绩</w:t>
            </w:r>
            <w:bookmarkEnd w:id="4"/>
          </w:p>
          <w:p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业务定义</w:t>
            </w:r>
            <w:r>
              <w:rPr>
                <w:rFonts w:ascii="Arial" w:hAnsi="Arial" w:eastAsia="等线" w:cs="Arial"/>
                <w:sz w:val="22"/>
              </w:rPr>
              <w:t>：零售渠道中不含 IW、辅材、梦之家的纯粹零售商业绩。</w:t>
            </w:r>
          </w:p>
          <w:p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计算口径</w:t>
            </w:r>
            <w:r>
              <w:rPr>
                <w:rFonts w:ascii="Arial" w:hAnsi="Arial" w:eastAsia="等线" w:cs="Arial"/>
                <w:sz w:val="22"/>
              </w:rPr>
              <w:t>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零售商业绩 = 零售渠道业绩 - IW业绩 - 辅材业绩 - 梦之家业绩</w:t>
            </w:r>
            <w:r>
              <w:rPr>
                <w:rFonts w:ascii="Arial" w:hAnsi="Arial" w:eastAsia="等线" w:cs="Arial"/>
                <w:sz w:val="22"/>
              </w:rPr>
              <w:t>。从销售事实表中，筛选"渠道类型"为"零售渠道"的业绩，剔除其中"产品类别"为 IW、辅材、梦之家的部分。</w:t>
            </w:r>
          </w:p>
          <w:p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与"零售渠道"区别</w:t>
            </w:r>
            <w:r>
              <w:rPr>
                <w:rFonts w:ascii="Arial" w:hAnsi="Arial" w:eastAsia="等线" w:cs="Arial"/>
                <w:sz w:val="22"/>
              </w:rPr>
              <w:t>："零售渠道"为全口径汇总，包含 IW、辅材、梦之家；"零售商业绩"仅包含传统瓷砖零售业务，是零售渠道的拆分口径。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300" w:after="120" w:line="288" w:lineRule="auto"/>
              <w:ind w:left="0"/>
              <w:jc w:val="left"/>
              <w:outlineLvl w:val="2"/>
            </w:pPr>
            <w:bookmarkStart w:id="5" w:name="heading_5"/>
            <w:r>
              <w:rPr>
                <w:rFonts w:ascii="Arial" w:hAnsi="Arial" w:eastAsia="等线" w:cs="Arial"/>
                <w:b/>
                <w:sz w:val="30"/>
              </w:rPr>
              <w:t>零售商合同</w:t>
            </w:r>
            <w:bookmarkEnd w:id="5"/>
          </w:p>
          <w:p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业务定义</w:t>
            </w:r>
            <w:r>
              <w:rPr>
                <w:rFonts w:ascii="Arial" w:hAnsi="Arial" w:eastAsia="等线" w:cs="Arial"/>
                <w:sz w:val="22"/>
              </w:rPr>
              <w:t>：零售渠道签约合同</w:t>
            </w:r>
          </w:p>
          <w:p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计算口径</w:t>
            </w:r>
            <w:r>
              <w:rPr>
                <w:rFonts w:ascii="Arial" w:hAnsi="Arial" w:eastAsia="等线" w:cs="Arial"/>
                <w:sz w:val="22"/>
              </w:rPr>
              <w:t>：零售商业绩/零售渠道目标=零售商合同</w:t>
            </w:r>
          </w:p>
          <w:p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与"零售渠道目标"区别</w:t>
            </w:r>
            <w:r>
              <w:rPr>
                <w:rFonts w:ascii="Arial" w:hAnsi="Arial" w:eastAsia="等线" w:cs="Arial"/>
                <w:sz w:val="22"/>
              </w:rPr>
              <w:t>：零售渠道/零售渠道目标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月度完成情况板块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在以下每个子模块的“零售渠道”列右侧，依次新增“零售商业绩”与“零售商合同”两列：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各渠道业绩</w:t>
      </w:r>
      <w:r>
        <w:rPr>
          <w:rFonts w:ascii="Arial" w:hAnsi="Arial" w:eastAsia="等线" w:cs="Arial"/>
          <w:sz w:val="22"/>
        </w:rPr>
        <w:t>：零售渠道、</w:t>
      </w:r>
      <w:r>
        <w:rPr>
          <w:rFonts w:ascii="Arial" w:hAnsi="Arial" w:eastAsia="等线" w:cs="Arial"/>
          <w:b/>
          <w:sz w:val="22"/>
        </w:rPr>
        <w:t>零售商业绩</w:t>
      </w:r>
      <w:r>
        <w:rPr>
          <w:rFonts w:ascii="Arial" w:hAnsi="Arial" w:eastAsia="等线" w:cs="Arial"/>
          <w:sz w:val="22"/>
        </w:rPr>
        <w:t>、整装头部、工程渠道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各渠道业绩目标</w:t>
      </w:r>
      <w:r>
        <w:rPr>
          <w:rFonts w:ascii="Arial" w:hAnsi="Arial" w:eastAsia="等线" w:cs="Arial"/>
          <w:sz w:val="22"/>
        </w:rPr>
        <w:t>：零售渠道、</w:t>
      </w:r>
      <w:r>
        <w:rPr>
          <w:rFonts w:ascii="Arial" w:hAnsi="Arial" w:eastAsia="等线" w:cs="Arial"/>
          <w:b/>
          <w:sz w:val="22"/>
        </w:rPr>
        <w:t>零售商合同</w:t>
      </w:r>
      <w:r>
        <w:rPr>
          <w:rFonts w:ascii="Arial" w:hAnsi="Arial" w:eastAsia="等线" w:cs="Arial"/>
          <w:sz w:val="22"/>
        </w:rPr>
        <w:t>、整装头部、工程渠道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各渠道业绩目标完成情况</w:t>
      </w:r>
      <w:r>
        <w:rPr>
          <w:rFonts w:ascii="Arial" w:hAnsi="Arial" w:eastAsia="等线" w:cs="Arial"/>
          <w:sz w:val="22"/>
        </w:rPr>
        <w:t>：零售渠道、</w:t>
      </w:r>
      <w:r>
        <w:rPr>
          <w:rFonts w:ascii="Arial" w:hAnsi="Arial" w:eastAsia="等线" w:cs="Arial"/>
          <w:b/>
          <w:sz w:val="22"/>
        </w:rPr>
        <w:t>零售商合同</w:t>
      </w:r>
      <w:r>
        <w:rPr>
          <w:rFonts w:ascii="Arial" w:hAnsi="Arial" w:eastAsia="等线" w:cs="Arial"/>
          <w:sz w:val="22"/>
        </w:rPr>
        <w:t>、整装头部、工程渠道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各渠道去年同期业绩</w:t>
      </w:r>
      <w:r>
        <w:rPr>
          <w:rFonts w:ascii="Arial" w:hAnsi="Arial" w:eastAsia="等线" w:cs="Arial"/>
          <w:sz w:val="22"/>
        </w:rPr>
        <w:t>：零售渠道、</w:t>
      </w:r>
      <w:r>
        <w:rPr>
          <w:rFonts w:ascii="Arial" w:hAnsi="Arial" w:eastAsia="等线" w:cs="Arial"/>
          <w:b/>
          <w:sz w:val="22"/>
        </w:rPr>
        <w:t>零售商业绩</w:t>
      </w:r>
      <w:r>
        <w:rPr>
          <w:rFonts w:ascii="Arial" w:hAnsi="Arial" w:eastAsia="等线" w:cs="Arial"/>
          <w:sz w:val="22"/>
        </w:rPr>
        <w:t>、整装头部、工程渠道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各渠道同比情况</w:t>
      </w:r>
      <w:r>
        <w:rPr>
          <w:rFonts w:ascii="Arial" w:hAnsi="Arial" w:eastAsia="等线" w:cs="Arial"/>
          <w:sz w:val="22"/>
        </w:rPr>
        <w:t>：零售渠道、</w:t>
      </w:r>
      <w:r>
        <w:rPr>
          <w:rFonts w:ascii="Arial" w:hAnsi="Arial" w:eastAsia="等线" w:cs="Arial"/>
          <w:b/>
          <w:sz w:val="22"/>
        </w:rPr>
        <w:t>零售商业绩</w:t>
      </w:r>
      <w:r>
        <w:rPr>
          <w:rFonts w:ascii="Arial" w:hAnsi="Arial" w:eastAsia="等线" w:cs="Arial"/>
          <w:sz w:val="22"/>
        </w:rPr>
        <w:t>、整装头部、工程渠道</w:t>
      </w:r>
    </w:p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 季度、年度累计、年度完成情况板块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季度完成情况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年度累计完成情况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年度完成情况</w:t>
      </w:r>
      <w:r>
        <w:rPr>
          <w:rFonts w:ascii="Arial" w:hAnsi="Arial" w:eastAsia="等线" w:cs="Arial"/>
          <w:sz w:val="22"/>
        </w:rPr>
        <w:t>三个板块的结构与“月度完成情况”板块完全一致。因此，新增指标的位置、列顺序及数据联动逻辑均与上述第2.1节所述完全相同，在对应板块的相同子模块中插入。</w:t>
      </w:r>
    </w:p>
    <w:p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数据字典：新增指标的计算逻辑与数据来源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下表详细定义了新增指标的技术实现细节，为开发与测试提供明确依据。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业务含义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计算口径/公式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数据来源表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关键关联字段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更新频率</w:t>
            </w:r>
          </w:p>
        </w:tc>
      </w:tr>
      <w:t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零售商业绩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签约/核心零售商的实际销售净额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零售商业绩 = 零售渠道业绩 - IW业绩 - 辅材业绩 - 梦之家业绩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sz w:val="22"/>
              </w:rPr>
              <w:t>计算步骤</w:t>
            </w:r>
            <w:r>
              <w:rPr>
                <w:rFonts w:ascii="Arial" w:hAnsi="Arial" w:eastAsia="等线" w:cs="Arial"/>
                <w:sz w:val="22"/>
              </w:rPr>
              <w:t>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1. 汇总零售渠道总业绩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剔除产品类别为 IW 的业绩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剔除产品类别为 辅材 的业绩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剔除产品类别为 梦之家 的业绩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销售事实表 (ERP)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零售商主数据 (CRM)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客户编码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零售商等级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T+1</w:t>
            </w:r>
          </w:p>
        </w:tc>
      </w:tr>
    </w:tbl>
    <w:p>
      <w:pPr>
        <w:spacing w:before="120" w:after="120" w:line="288" w:lineRule="auto"/>
        <w:ind w:left="0"/>
        <w:jc w:val="left"/>
      </w:pPr>
      <w:bookmarkStart w:id="9" w:name="_GoBack"/>
      <w:bookmarkEnd w:id="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F52D0"/>
    <w:multiLevelType w:val="singleLevel"/>
    <w:tmpl w:val="8F7F52D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CD9C43BD"/>
    <w:multiLevelType w:val="singleLevel"/>
    <w:tmpl w:val="CD9C43B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E67F93B1"/>
    <w:multiLevelType w:val="singleLevel"/>
    <w:tmpl w:val="E67F93B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EFFE9678"/>
    <w:multiLevelType w:val="singleLevel"/>
    <w:tmpl w:val="EFFE96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F67F7405"/>
    <w:multiLevelType w:val="singleLevel"/>
    <w:tmpl w:val="F67F74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7BFD0C1"/>
    <w:multiLevelType w:val="singleLevel"/>
    <w:tmpl w:val="F7BFD0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F5FF811"/>
    <w:multiLevelType w:val="singleLevel"/>
    <w:tmpl w:val="FF5FF81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FF8BCE7C"/>
    <w:multiLevelType w:val="singleLevel"/>
    <w:tmpl w:val="FF8BCE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FFFCCC4"/>
    <w:multiLevelType w:val="singleLevel"/>
    <w:tmpl w:val="FFFFCC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66B8BA0"/>
    <w:multiLevelType w:val="singleLevel"/>
    <w:tmpl w:val="266B8B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36AABBD8"/>
    <w:multiLevelType w:val="singleLevel"/>
    <w:tmpl w:val="36AABBD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3DBFDFF6"/>
    <w:multiLevelType w:val="singleLevel"/>
    <w:tmpl w:val="3DBFDF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767F9E19"/>
    <w:multiLevelType w:val="singleLevel"/>
    <w:tmpl w:val="767F9E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7DCEE759"/>
    <w:multiLevelType w:val="singleLevel"/>
    <w:tmpl w:val="7DCEE75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12"/>
  </w:num>
  <w:num w:numId="5">
    <w:abstractNumId w:val="8"/>
  </w:num>
  <w:num w:numId="6">
    <w:abstractNumId w:val="4"/>
  </w:num>
  <w:num w:numId="7">
    <w:abstractNumId w:val="13"/>
  </w:num>
  <w:num w:numId="8">
    <w:abstractNumId w:val="11"/>
  </w:num>
  <w:num w:numId="9">
    <w:abstractNumId w:val="3"/>
  </w:num>
  <w:num w:numId="10">
    <w:abstractNumId w:val="1"/>
  </w:num>
  <w:num w:numId="11">
    <w:abstractNumId w:val="2"/>
  </w:num>
  <w:num w:numId="12">
    <w:abstractNumId w:val="0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BF2537"/>
    <w:rsid w:val="4BFCE467"/>
    <w:rsid w:val="5F3D0676"/>
    <w:rsid w:val="76FB0A5C"/>
    <w:rsid w:val="7BAE3B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19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2026-05-23T09:19:00Z</dcterms:created>
  <dc:creator>Apache POI</dc:creator>
  <cp:lastModifiedBy>宋</cp:lastModifiedBy>
  <dcterms:modified xsi:type="dcterms:W3CDTF">2026-05-23T09:44:32Z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1A0C2A72BA5F8F608006116ACDE9E0F8_43</vt:lpwstr>
  </property>
</Properties>
</file>