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0"/>
      </w:pPr>
    </w:p>
    <w:p>
      <w:pPr>
        <w:pStyle w:val="Title"/>
        <w:jc w:val="left"/>
      </w:pPr>
      <w:r>
        <w:t>矿区智能安全监控与处置平台</w:t>
        <w:br/>
        <w:t>系统设计与开发手册</w:t>
      </w:r>
    </w:p>
    <w:p>
      <w:pPr>
        <w:spacing w:before="240" w:after="640"/>
      </w:pPr>
      <w:r>
        <w:rPr>
          <w:rFonts w:ascii="Microsoft YaHei" w:hAnsi="Microsoft YaHei" w:eastAsia="Microsoft YaHei"/>
          <w:b/>
          <w:color w:val="168B84"/>
          <w:sz w:val="32"/>
        </w:rPr>
        <w:t>MineGuard Agent 版本 1.0</w:t>
      </w:r>
    </w:p>
    <w:p>
      <w:pPr>
        <w:spacing w:after="440"/>
      </w:pPr>
      <w:r>
        <w:rPr>
          <w:rFonts w:ascii="Microsoft YaHei" w:hAnsi="Microsoft YaHei" w:eastAsia="Microsoft YaHei"/>
          <w:sz w:val="24"/>
        </w:rPr>
        <w:t>用于指导视觉检测、时序告警、RAG 证据检索、受控 Agent、工单闭环和模型反馈系统的开发、测试与演示。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tcBorders>
              <w:top w:val="single" w:sz="6" w:color="D7DEE3"/>
              <w:left w:val="single" w:sz="6" w:color="D7DEE3"/>
              <w:bottom w:val="single" w:sz="6" w:color="D7DEE3"/>
              <w:right w:val="single" w:sz="6" w:color="D7DEE3"/>
              <w:insideH w:val="single" w:sz="6" w:color="D7DEE3"/>
              <w:insideV w:val="single" w:sz="6" w:color="D7DEE3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shd w:fill="E8F5F2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设计基线</w:t>
            </w:r>
          </w:p>
        </w:tc>
        <w:tc>
          <w:tcPr>
            <w:tcW w:type="dxa" w:w="4997"/>
            <w:tcBorders>
              <w:top w:val="single" w:sz="6" w:color="D7DEE3"/>
              <w:left w:val="single" w:sz="6" w:color="D7DEE3"/>
              <w:bottom w:val="single" w:sz="6" w:color="D7DEE3"/>
              <w:right w:val="single" w:sz="6" w:color="D7DEE3"/>
              <w:insideH w:val="single" w:sz="6" w:color="D7DEE3"/>
              <w:insideV w:val="single" w:sz="6" w:color="D7DEE3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视觉负责感知 规则负责判断 Agent 负责受控编排</w:t>
            </w:r>
          </w:p>
        </w:tc>
      </w:tr>
      <w:tr>
        <w:tc>
          <w:tcPr>
            <w:tcW w:type="dxa" w:w="4997"/>
            <w:tcBorders>
              <w:top w:val="single" w:sz="6" w:color="D7DEE3"/>
              <w:left w:val="single" w:sz="6" w:color="D7DEE3"/>
              <w:bottom w:val="single" w:sz="6" w:color="D7DEE3"/>
              <w:right w:val="single" w:sz="6" w:color="D7DEE3"/>
              <w:insideH w:val="single" w:sz="6" w:color="D7DEE3"/>
              <w:insideV w:val="single" w:sz="6" w:color="D7DEE3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shd w:fill="E8F5F2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当前基础</w:t>
            </w:r>
          </w:p>
        </w:tc>
        <w:tc>
          <w:tcPr>
            <w:tcW w:type="dxa" w:w="4997"/>
            <w:tcBorders>
              <w:top w:val="single" w:sz="6" w:color="D7DEE3"/>
              <w:left w:val="single" w:sz="6" w:color="D7DEE3"/>
              <w:bottom w:val="single" w:sz="6" w:color="D7DEE3"/>
              <w:right w:val="single" w:sz="6" w:color="D7DEE3"/>
              <w:insideH w:val="single" w:sz="6" w:color="D7DEE3"/>
              <w:insideV w:val="single" w:sz="6" w:color="D7DEE3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29,071 张图像 174,426 次推理 30,183 条审核任务</w:t>
            </w:r>
          </w:p>
        </w:tc>
      </w:tr>
      <w:tr>
        <w:tc>
          <w:tcPr>
            <w:tcW w:type="dxa" w:w="4997"/>
            <w:tcBorders>
              <w:top w:val="single" w:sz="6" w:color="D7DEE3"/>
              <w:left w:val="single" w:sz="6" w:color="D7DEE3"/>
              <w:bottom w:val="single" w:sz="6" w:color="D7DEE3"/>
              <w:right w:val="single" w:sz="6" w:color="D7DEE3"/>
              <w:insideH w:val="single" w:sz="6" w:color="D7DEE3"/>
              <w:insideV w:val="single" w:sz="6" w:color="D7DEE3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shd w:fill="E8F5F2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技术主线</w:t>
            </w:r>
          </w:p>
        </w:tc>
        <w:tc>
          <w:tcPr>
            <w:tcW w:type="dxa" w:w="4997"/>
            <w:tcBorders>
              <w:top w:val="single" w:sz="6" w:color="D7DEE3"/>
              <w:left w:val="single" w:sz="6" w:color="D7DEE3"/>
              <w:bottom w:val="single" w:sz="6" w:color="D7DEE3"/>
              <w:right w:val="single" w:sz="6" w:color="D7DEE3"/>
              <w:insideH w:val="single" w:sz="6" w:color="D7DEE3"/>
              <w:insideV w:val="single" w:sz="6" w:color="D7DEE3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Java 21 Spring Boot Vue3 Kafka Redis MySQL Spring AI</w:t>
            </w:r>
          </w:p>
        </w:tc>
      </w:tr>
      <w:tr>
        <w:tc>
          <w:tcPr>
            <w:tcW w:type="dxa" w:w="4997"/>
            <w:tcBorders>
              <w:top w:val="single" w:sz="6" w:color="D7DEE3"/>
              <w:left w:val="single" w:sz="6" w:color="D7DEE3"/>
              <w:bottom w:val="single" w:sz="6" w:color="D7DEE3"/>
              <w:right w:val="single" w:sz="6" w:color="D7DEE3"/>
              <w:insideH w:val="single" w:sz="6" w:color="D7DEE3"/>
              <w:insideV w:val="single" w:sz="6" w:color="D7DEE3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shd w:fill="E8F5F2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编制日期</w:t>
            </w:r>
          </w:p>
        </w:tc>
        <w:tc>
          <w:tcPr>
            <w:tcW w:type="dxa" w:w="4997"/>
            <w:tcBorders>
              <w:top w:val="single" w:sz="6" w:color="D7DEE3"/>
              <w:left w:val="single" w:sz="6" w:color="D7DEE3"/>
              <w:bottom w:val="single" w:sz="6" w:color="D7DEE3"/>
              <w:right w:val="single" w:sz="6" w:color="D7DEE3"/>
              <w:insideH w:val="single" w:sz="6" w:color="D7DEE3"/>
              <w:insideV w:val="single" w:sz="6" w:color="D7DEE3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2026 年 9 月 12 日</w:t>
            </w:r>
          </w:p>
        </w:tc>
      </w:tr>
    </w:tbl>
    <w:p>
      <w:r>
        <w:br w:type="page"/>
      </w:r>
    </w:p>
    <w:p>
      <w:pPr>
        <w:pStyle w:val="Heading1"/>
      </w:pPr>
      <w:r>
        <w:t>内容导航</w:t>
      </w:r>
    </w:p>
    <w:p>
      <w:pPr>
        <w:spacing w:after="200"/>
      </w:pPr>
      <w:r>
        <w:t>本手册从产品边界开始，依次给出架构、数据、业务状态、AI 安全、测试和开发任务。开发时以第二十四章和第二十五章作为迭代入口。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tcBorders>
              <w:top w:val="single" w:sz="4" w:color="E2E7EA"/>
              <w:left w:val="single" w:sz="4" w:color="E2E7EA"/>
              <w:bottom w:val="single" w:sz="4" w:color="E2E7EA"/>
              <w:right w:val="single" w:sz="4" w:color="E2E7EA"/>
              <w:insideH w:val="single" w:sz="4" w:color="E2E7EA"/>
              <w:insideV w:val="single" w:sz="4" w:color="E2E7EA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1 文档目的</w:t>
            </w:r>
          </w:p>
        </w:tc>
        <w:tc>
          <w:tcPr>
            <w:tcW w:type="dxa" w:w="4997"/>
            <w:tcBorders>
              <w:top w:val="single" w:sz="4" w:color="E2E7EA"/>
              <w:left w:val="single" w:sz="4" w:color="E2E7EA"/>
              <w:bottom w:val="single" w:sz="4" w:color="E2E7EA"/>
              <w:right w:val="single" w:sz="4" w:color="E2E7EA"/>
              <w:insideH w:val="single" w:sz="4" w:color="E2E7EA"/>
              <w:insideV w:val="single" w:sz="4" w:color="E2E7EA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16 可靠消息与一致性</w:t>
            </w:r>
          </w:p>
        </w:tc>
      </w:tr>
      <w:tr>
        <w:tc>
          <w:tcPr>
            <w:tcW w:type="dxa" w:w="4997"/>
            <w:tcBorders>
              <w:top w:val="single" w:sz="4" w:color="E2E7EA"/>
              <w:left w:val="single" w:sz="4" w:color="E2E7EA"/>
              <w:bottom w:val="single" w:sz="4" w:color="E2E7EA"/>
              <w:right w:val="single" w:sz="4" w:color="E2E7EA"/>
              <w:insideH w:val="single" w:sz="4" w:color="E2E7EA"/>
              <w:insideV w:val="single" w:sz="4" w:color="E2E7EA"/>
            </w:tcBorders>
            <w:tcMar>
              <w:top w:w="75" w:type="dxa"/>
              <w:start w:w="110" w:type="dxa"/>
              <w:bottom w:w="75" w:type="dxa"/>
              <w:end w:w="110" w:type="dxa"/>
            </w:tcMar>
            <w:shd w:fill="F7F9FA"/>
          </w:tcPr>
          <w:p>
            <w:r>
              <w:rPr>
                <w:rFonts w:ascii="Microsoft YaHei" w:hAnsi="Microsoft YaHei" w:eastAsia="Microsoft YaHei"/>
                <w:sz w:val="17"/>
              </w:rPr>
              <w:t>2 当前基础与建设结论</w:t>
            </w:r>
          </w:p>
        </w:tc>
        <w:tc>
          <w:tcPr>
            <w:tcW w:type="dxa" w:w="4997"/>
            <w:tcBorders>
              <w:top w:val="single" w:sz="4" w:color="E2E7EA"/>
              <w:left w:val="single" w:sz="4" w:color="E2E7EA"/>
              <w:bottom w:val="single" w:sz="4" w:color="E2E7EA"/>
              <w:right w:val="single" w:sz="4" w:color="E2E7EA"/>
              <w:insideH w:val="single" w:sz="4" w:color="E2E7EA"/>
              <w:insideV w:val="single" w:sz="4" w:color="E2E7EA"/>
            </w:tcBorders>
            <w:tcMar>
              <w:top w:w="75" w:type="dxa"/>
              <w:start w:w="110" w:type="dxa"/>
              <w:bottom w:w="75" w:type="dxa"/>
              <w:end w:w="110" w:type="dxa"/>
            </w:tcMar>
            <w:shd w:fill="F7F9FA"/>
          </w:tcPr>
          <w:p>
            <w:r>
              <w:rPr>
                <w:rFonts w:ascii="Microsoft YaHei" w:hAnsi="Microsoft YaHei" w:eastAsia="Microsoft YaHei"/>
                <w:sz w:val="17"/>
              </w:rPr>
              <w:t>17 API 设计</w:t>
            </w:r>
          </w:p>
        </w:tc>
      </w:tr>
      <w:tr>
        <w:tc>
          <w:tcPr>
            <w:tcW w:type="dxa" w:w="4997"/>
            <w:tcBorders>
              <w:top w:val="single" w:sz="4" w:color="E2E7EA"/>
              <w:left w:val="single" w:sz="4" w:color="E2E7EA"/>
              <w:bottom w:val="single" w:sz="4" w:color="E2E7EA"/>
              <w:right w:val="single" w:sz="4" w:color="E2E7EA"/>
              <w:insideH w:val="single" w:sz="4" w:color="E2E7EA"/>
              <w:insideV w:val="single" w:sz="4" w:color="E2E7EA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3 产品定位</w:t>
            </w:r>
          </w:p>
        </w:tc>
        <w:tc>
          <w:tcPr>
            <w:tcW w:type="dxa" w:w="4997"/>
            <w:tcBorders>
              <w:top w:val="single" w:sz="4" w:color="E2E7EA"/>
              <w:left w:val="single" w:sz="4" w:color="E2E7EA"/>
              <w:bottom w:val="single" w:sz="4" w:color="E2E7EA"/>
              <w:right w:val="single" w:sz="4" w:color="E2E7EA"/>
              <w:insideH w:val="single" w:sz="4" w:color="E2E7EA"/>
              <w:insideV w:val="single" w:sz="4" w:color="E2E7EA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18 前端信息架构</w:t>
            </w:r>
          </w:p>
        </w:tc>
      </w:tr>
      <w:tr>
        <w:tc>
          <w:tcPr>
            <w:tcW w:type="dxa" w:w="4997"/>
            <w:tcBorders>
              <w:top w:val="single" w:sz="4" w:color="E2E7EA"/>
              <w:left w:val="single" w:sz="4" w:color="E2E7EA"/>
              <w:bottom w:val="single" w:sz="4" w:color="E2E7EA"/>
              <w:right w:val="single" w:sz="4" w:color="E2E7EA"/>
              <w:insideH w:val="single" w:sz="4" w:color="E2E7EA"/>
              <w:insideV w:val="single" w:sz="4" w:color="E2E7EA"/>
            </w:tcBorders>
            <w:tcMar>
              <w:top w:w="75" w:type="dxa"/>
              <w:start w:w="110" w:type="dxa"/>
              <w:bottom w:w="75" w:type="dxa"/>
              <w:end w:w="110" w:type="dxa"/>
            </w:tcMar>
            <w:shd w:fill="F7F9FA"/>
          </w:tcPr>
          <w:p>
            <w:r>
              <w:rPr>
                <w:rFonts w:ascii="Microsoft YaHei" w:hAnsi="Microsoft YaHei" w:eastAsia="Microsoft YaHei"/>
                <w:sz w:val="17"/>
              </w:rPr>
              <w:t>4 第一版范围</w:t>
            </w:r>
          </w:p>
        </w:tc>
        <w:tc>
          <w:tcPr>
            <w:tcW w:type="dxa" w:w="4997"/>
            <w:tcBorders>
              <w:top w:val="single" w:sz="4" w:color="E2E7EA"/>
              <w:left w:val="single" w:sz="4" w:color="E2E7EA"/>
              <w:bottom w:val="single" w:sz="4" w:color="E2E7EA"/>
              <w:right w:val="single" w:sz="4" w:color="E2E7EA"/>
              <w:insideH w:val="single" w:sz="4" w:color="E2E7EA"/>
              <w:insideV w:val="single" w:sz="4" w:color="E2E7EA"/>
            </w:tcBorders>
            <w:tcMar>
              <w:top w:w="75" w:type="dxa"/>
              <w:start w:w="110" w:type="dxa"/>
              <w:bottom w:w="75" w:type="dxa"/>
              <w:end w:w="110" w:type="dxa"/>
            </w:tcMar>
            <w:shd w:fill="F7F9FA"/>
          </w:tcPr>
          <w:p>
            <w:r>
              <w:rPr>
                <w:rFonts w:ascii="Microsoft YaHei" w:hAnsi="Microsoft YaHei" w:eastAsia="Microsoft YaHei"/>
                <w:sz w:val="17"/>
              </w:rPr>
              <w:t>19 可观测性</w:t>
            </w:r>
          </w:p>
        </w:tc>
      </w:tr>
      <w:tr>
        <w:tc>
          <w:tcPr>
            <w:tcW w:type="dxa" w:w="4997"/>
            <w:tcBorders>
              <w:top w:val="single" w:sz="4" w:color="E2E7EA"/>
              <w:left w:val="single" w:sz="4" w:color="E2E7EA"/>
              <w:bottom w:val="single" w:sz="4" w:color="E2E7EA"/>
              <w:right w:val="single" w:sz="4" w:color="E2E7EA"/>
              <w:insideH w:val="single" w:sz="4" w:color="E2E7EA"/>
              <w:insideV w:val="single" w:sz="4" w:color="E2E7EA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5 总体架构</w:t>
            </w:r>
          </w:p>
        </w:tc>
        <w:tc>
          <w:tcPr>
            <w:tcW w:type="dxa" w:w="4997"/>
            <w:tcBorders>
              <w:top w:val="single" w:sz="4" w:color="E2E7EA"/>
              <w:left w:val="single" w:sz="4" w:color="E2E7EA"/>
              <w:bottom w:val="single" w:sz="4" w:color="E2E7EA"/>
              <w:right w:val="single" w:sz="4" w:color="E2E7EA"/>
              <w:insideH w:val="single" w:sz="4" w:color="E2E7EA"/>
              <w:insideV w:val="single" w:sz="4" w:color="E2E7EA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20 测试设计</w:t>
            </w:r>
          </w:p>
        </w:tc>
      </w:tr>
      <w:tr>
        <w:tc>
          <w:tcPr>
            <w:tcW w:type="dxa" w:w="4997"/>
            <w:tcBorders>
              <w:top w:val="single" w:sz="4" w:color="E2E7EA"/>
              <w:left w:val="single" w:sz="4" w:color="E2E7EA"/>
              <w:bottom w:val="single" w:sz="4" w:color="E2E7EA"/>
              <w:right w:val="single" w:sz="4" w:color="E2E7EA"/>
              <w:insideH w:val="single" w:sz="4" w:color="E2E7EA"/>
              <w:insideV w:val="single" w:sz="4" w:color="E2E7EA"/>
            </w:tcBorders>
            <w:tcMar>
              <w:top w:w="75" w:type="dxa"/>
              <w:start w:w="110" w:type="dxa"/>
              <w:bottom w:w="75" w:type="dxa"/>
              <w:end w:w="110" w:type="dxa"/>
            </w:tcMar>
            <w:shd w:fill="F7F9FA"/>
          </w:tcPr>
          <w:p>
            <w:r>
              <w:rPr>
                <w:rFonts w:ascii="Microsoft YaHei" w:hAnsi="Microsoft YaHei" w:eastAsia="Microsoft YaHei"/>
                <w:sz w:val="17"/>
              </w:rPr>
              <w:t>6 架构原则</w:t>
            </w:r>
          </w:p>
        </w:tc>
        <w:tc>
          <w:tcPr>
            <w:tcW w:type="dxa" w:w="4997"/>
            <w:tcBorders>
              <w:top w:val="single" w:sz="4" w:color="E2E7EA"/>
              <w:left w:val="single" w:sz="4" w:color="E2E7EA"/>
              <w:bottom w:val="single" w:sz="4" w:color="E2E7EA"/>
              <w:right w:val="single" w:sz="4" w:color="E2E7EA"/>
              <w:insideH w:val="single" w:sz="4" w:color="E2E7EA"/>
              <w:insideV w:val="single" w:sz="4" w:color="E2E7EA"/>
            </w:tcBorders>
            <w:tcMar>
              <w:top w:w="75" w:type="dxa"/>
              <w:start w:w="110" w:type="dxa"/>
              <w:bottom w:w="75" w:type="dxa"/>
              <w:end w:w="110" w:type="dxa"/>
            </w:tcMar>
            <w:shd w:fill="F7F9FA"/>
          </w:tcPr>
          <w:p>
            <w:r>
              <w:rPr>
                <w:rFonts w:ascii="Microsoft YaHei" w:hAnsi="Microsoft YaHei" w:eastAsia="Microsoft YaHei"/>
                <w:sz w:val="17"/>
              </w:rPr>
              <w:t>21 设计目标与验收指标</w:t>
            </w:r>
          </w:p>
        </w:tc>
      </w:tr>
      <w:tr>
        <w:tc>
          <w:tcPr>
            <w:tcW w:type="dxa" w:w="4997"/>
            <w:tcBorders>
              <w:top w:val="single" w:sz="4" w:color="E2E7EA"/>
              <w:left w:val="single" w:sz="4" w:color="E2E7EA"/>
              <w:bottom w:val="single" w:sz="4" w:color="E2E7EA"/>
              <w:right w:val="single" w:sz="4" w:color="E2E7EA"/>
              <w:insideH w:val="single" w:sz="4" w:color="E2E7EA"/>
              <w:insideV w:val="single" w:sz="4" w:color="E2E7EA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7 领域模块设计</w:t>
            </w:r>
          </w:p>
        </w:tc>
        <w:tc>
          <w:tcPr>
            <w:tcW w:type="dxa" w:w="4997"/>
            <w:tcBorders>
              <w:top w:val="single" w:sz="4" w:color="E2E7EA"/>
              <w:left w:val="single" w:sz="4" w:color="E2E7EA"/>
              <w:bottom w:val="single" w:sz="4" w:color="E2E7EA"/>
              <w:right w:val="single" w:sz="4" w:color="E2E7EA"/>
              <w:insideH w:val="single" w:sz="4" w:color="E2E7EA"/>
              <w:insideV w:val="single" w:sz="4" w:color="E2E7EA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22 仓库结构</w:t>
            </w:r>
          </w:p>
        </w:tc>
      </w:tr>
      <w:tr>
        <w:tc>
          <w:tcPr>
            <w:tcW w:type="dxa" w:w="4997"/>
            <w:tcBorders>
              <w:top w:val="single" w:sz="4" w:color="E2E7EA"/>
              <w:left w:val="single" w:sz="4" w:color="E2E7EA"/>
              <w:bottom w:val="single" w:sz="4" w:color="E2E7EA"/>
              <w:right w:val="single" w:sz="4" w:color="E2E7EA"/>
              <w:insideH w:val="single" w:sz="4" w:color="E2E7EA"/>
              <w:insideV w:val="single" w:sz="4" w:color="E2E7EA"/>
            </w:tcBorders>
            <w:tcMar>
              <w:top w:w="75" w:type="dxa"/>
              <w:start w:w="110" w:type="dxa"/>
              <w:bottom w:w="75" w:type="dxa"/>
              <w:end w:w="110" w:type="dxa"/>
            </w:tcMar>
            <w:shd w:fill="F7F9FA"/>
          </w:tcPr>
          <w:p>
            <w:r>
              <w:rPr>
                <w:rFonts w:ascii="Microsoft YaHei" w:hAnsi="Microsoft YaHei" w:eastAsia="Microsoft YaHei"/>
                <w:sz w:val="17"/>
              </w:rPr>
              <w:t>8 核心数据模型</w:t>
            </w:r>
          </w:p>
        </w:tc>
        <w:tc>
          <w:tcPr>
            <w:tcW w:type="dxa" w:w="4997"/>
            <w:tcBorders>
              <w:top w:val="single" w:sz="4" w:color="E2E7EA"/>
              <w:left w:val="single" w:sz="4" w:color="E2E7EA"/>
              <w:bottom w:val="single" w:sz="4" w:color="E2E7EA"/>
              <w:right w:val="single" w:sz="4" w:color="E2E7EA"/>
              <w:insideH w:val="single" w:sz="4" w:color="E2E7EA"/>
              <w:insideV w:val="single" w:sz="4" w:color="E2E7EA"/>
            </w:tcBorders>
            <w:tcMar>
              <w:top w:w="75" w:type="dxa"/>
              <w:start w:w="110" w:type="dxa"/>
              <w:bottom w:w="75" w:type="dxa"/>
              <w:end w:w="110" w:type="dxa"/>
            </w:tcMar>
            <w:shd w:fill="F7F9FA"/>
          </w:tcPr>
          <w:p>
            <w:r>
              <w:rPr>
                <w:rFonts w:ascii="Microsoft YaHei" w:hAnsi="Microsoft YaHei" w:eastAsia="Microsoft YaHei"/>
                <w:sz w:val="17"/>
              </w:rPr>
              <w:t>23 配置与环境</w:t>
            </w:r>
          </w:p>
        </w:tc>
      </w:tr>
      <w:tr>
        <w:tc>
          <w:tcPr>
            <w:tcW w:type="dxa" w:w="4997"/>
            <w:tcBorders>
              <w:top w:val="single" w:sz="4" w:color="E2E7EA"/>
              <w:left w:val="single" w:sz="4" w:color="E2E7EA"/>
              <w:bottom w:val="single" w:sz="4" w:color="E2E7EA"/>
              <w:right w:val="single" w:sz="4" w:color="E2E7EA"/>
              <w:insideH w:val="single" w:sz="4" w:color="E2E7EA"/>
              <w:insideV w:val="single" w:sz="4" w:color="E2E7EA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9 事件协议</w:t>
            </w:r>
          </w:p>
        </w:tc>
        <w:tc>
          <w:tcPr>
            <w:tcW w:type="dxa" w:w="4997"/>
            <w:tcBorders>
              <w:top w:val="single" w:sz="4" w:color="E2E7EA"/>
              <w:left w:val="single" w:sz="4" w:color="E2E7EA"/>
              <w:bottom w:val="single" w:sz="4" w:color="E2E7EA"/>
              <w:right w:val="single" w:sz="4" w:color="E2E7EA"/>
              <w:insideH w:val="single" w:sz="4" w:color="E2E7EA"/>
              <w:insideV w:val="single" w:sz="4" w:color="E2E7EA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24 分阶段开发计划</w:t>
            </w:r>
          </w:p>
        </w:tc>
      </w:tr>
      <w:tr>
        <w:tc>
          <w:tcPr>
            <w:tcW w:type="dxa" w:w="4997"/>
            <w:tcBorders>
              <w:top w:val="single" w:sz="4" w:color="E2E7EA"/>
              <w:left w:val="single" w:sz="4" w:color="E2E7EA"/>
              <w:bottom w:val="single" w:sz="4" w:color="E2E7EA"/>
              <w:right w:val="single" w:sz="4" w:color="E2E7EA"/>
              <w:insideH w:val="single" w:sz="4" w:color="E2E7EA"/>
              <w:insideV w:val="single" w:sz="4" w:color="E2E7EA"/>
            </w:tcBorders>
            <w:tcMar>
              <w:top w:w="75" w:type="dxa"/>
              <w:start w:w="110" w:type="dxa"/>
              <w:bottom w:w="75" w:type="dxa"/>
              <w:end w:w="110" w:type="dxa"/>
            </w:tcMar>
            <w:shd w:fill="F7F9FA"/>
          </w:tcPr>
          <w:p>
            <w:r>
              <w:rPr>
                <w:rFonts w:ascii="Microsoft YaHei" w:hAnsi="Microsoft YaHei" w:eastAsia="Microsoft YaHei"/>
                <w:sz w:val="17"/>
              </w:rPr>
              <w:t>10 视频与推理服务设计</w:t>
            </w:r>
          </w:p>
        </w:tc>
        <w:tc>
          <w:tcPr>
            <w:tcW w:type="dxa" w:w="4997"/>
            <w:tcBorders>
              <w:top w:val="single" w:sz="4" w:color="E2E7EA"/>
              <w:left w:val="single" w:sz="4" w:color="E2E7EA"/>
              <w:bottom w:val="single" w:sz="4" w:color="E2E7EA"/>
              <w:right w:val="single" w:sz="4" w:color="E2E7EA"/>
              <w:insideH w:val="single" w:sz="4" w:color="E2E7EA"/>
              <w:insideV w:val="single" w:sz="4" w:color="E2E7EA"/>
            </w:tcBorders>
            <w:tcMar>
              <w:top w:w="75" w:type="dxa"/>
              <w:start w:w="110" w:type="dxa"/>
              <w:bottom w:w="75" w:type="dxa"/>
              <w:end w:w="110" w:type="dxa"/>
            </w:tcMar>
            <w:shd w:fill="F7F9FA"/>
          </w:tcPr>
          <w:p>
            <w:r>
              <w:rPr>
                <w:rFonts w:ascii="Microsoft YaHei" w:hAnsi="Microsoft YaHei" w:eastAsia="Microsoft YaHei"/>
                <w:sz w:val="17"/>
              </w:rPr>
              <w:t>25 第一批开发任务</w:t>
            </w:r>
          </w:p>
        </w:tc>
      </w:tr>
      <w:tr>
        <w:tc>
          <w:tcPr>
            <w:tcW w:type="dxa" w:w="4997"/>
            <w:tcBorders>
              <w:top w:val="single" w:sz="4" w:color="E2E7EA"/>
              <w:left w:val="single" w:sz="4" w:color="E2E7EA"/>
              <w:bottom w:val="single" w:sz="4" w:color="E2E7EA"/>
              <w:right w:val="single" w:sz="4" w:color="E2E7EA"/>
              <w:insideH w:val="single" w:sz="4" w:color="E2E7EA"/>
              <w:insideV w:val="single" w:sz="4" w:color="E2E7EA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11 时序告警规则引擎</w:t>
            </w:r>
          </w:p>
        </w:tc>
        <w:tc>
          <w:tcPr>
            <w:tcW w:type="dxa" w:w="4997"/>
            <w:tcBorders>
              <w:top w:val="single" w:sz="4" w:color="E2E7EA"/>
              <w:left w:val="single" w:sz="4" w:color="E2E7EA"/>
              <w:bottom w:val="single" w:sz="4" w:color="E2E7EA"/>
              <w:right w:val="single" w:sz="4" w:color="E2E7EA"/>
              <w:insideH w:val="single" w:sz="4" w:color="E2E7EA"/>
              <w:insideV w:val="single" w:sz="4" w:color="E2E7EA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26 面试讲解主线</w:t>
            </w:r>
          </w:p>
        </w:tc>
      </w:tr>
      <w:tr>
        <w:tc>
          <w:tcPr>
            <w:tcW w:type="dxa" w:w="4997"/>
            <w:tcBorders>
              <w:top w:val="single" w:sz="4" w:color="E2E7EA"/>
              <w:left w:val="single" w:sz="4" w:color="E2E7EA"/>
              <w:bottom w:val="single" w:sz="4" w:color="E2E7EA"/>
              <w:right w:val="single" w:sz="4" w:color="E2E7EA"/>
              <w:insideH w:val="single" w:sz="4" w:color="E2E7EA"/>
              <w:insideV w:val="single" w:sz="4" w:color="E2E7EA"/>
            </w:tcBorders>
            <w:tcMar>
              <w:top w:w="75" w:type="dxa"/>
              <w:start w:w="110" w:type="dxa"/>
              <w:bottom w:w="75" w:type="dxa"/>
              <w:end w:w="110" w:type="dxa"/>
            </w:tcMar>
            <w:shd w:fill="F7F9FA"/>
          </w:tcPr>
          <w:p>
            <w:r>
              <w:rPr>
                <w:rFonts w:ascii="Microsoft YaHei" w:hAnsi="Microsoft YaHei" w:eastAsia="Microsoft YaHei"/>
                <w:sz w:val="17"/>
              </w:rPr>
              <w:t>12 状态机</w:t>
            </w:r>
          </w:p>
        </w:tc>
        <w:tc>
          <w:tcPr>
            <w:tcW w:type="dxa" w:w="4997"/>
            <w:tcBorders>
              <w:top w:val="single" w:sz="4" w:color="E2E7EA"/>
              <w:left w:val="single" w:sz="4" w:color="E2E7EA"/>
              <w:bottom w:val="single" w:sz="4" w:color="E2E7EA"/>
              <w:right w:val="single" w:sz="4" w:color="E2E7EA"/>
              <w:insideH w:val="single" w:sz="4" w:color="E2E7EA"/>
              <w:insideV w:val="single" w:sz="4" w:color="E2E7EA"/>
            </w:tcBorders>
            <w:tcMar>
              <w:top w:w="75" w:type="dxa"/>
              <w:start w:w="110" w:type="dxa"/>
              <w:bottom w:w="75" w:type="dxa"/>
              <w:end w:w="110" w:type="dxa"/>
            </w:tcMar>
            <w:shd w:fill="F7F9FA"/>
          </w:tcPr>
          <w:p>
            <w:r>
              <w:rPr>
                <w:rFonts w:ascii="Microsoft YaHei" w:hAnsi="Microsoft YaHei" w:eastAsia="Microsoft YaHei"/>
                <w:sz w:val="17"/>
              </w:rPr>
              <w:t>27 风险清单</w:t>
            </w:r>
          </w:p>
        </w:tc>
      </w:tr>
      <w:tr>
        <w:tc>
          <w:tcPr>
            <w:tcW w:type="dxa" w:w="4997"/>
            <w:tcBorders>
              <w:top w:val="single" w:sz="4" w:color="E2E7EA"/>
              <w:left w:val="single" w:sz="4" w:color="E2E7EA"/>
              <w:bottom w:val="single" w:sz="4" w:color="E2E7EA"/>
              <w:right w:val="single" w:sz="4" w:color="E2E7EA"/>
              <w:insideH w:val="single" w:sz="4" w:color="E2E7EA"/>
              <w:insideV w:val="single" w:sz="4" w:color="E2E7EA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13 RAG 知识库设计</w:t>
            </w:r>
          </w:p>
        </w:tc>
        <w:tc>
          <w:tcPr>
            <w:tcW w:type="dxa" w:w="4997"/>
            <w:tcBorders>
              <w:top w:val="single" w:sz="4" w:color="E2E7EA"/>
              <w:left w:val="single" w:sz="4" w:color="E2E7EA"/>
              <w:bottom w:val="single" w:sz="4" w:color="E2E7EA"/>
              <w:right w:val="single" w:sz="4" w:color="E2E7EA"/>
              <w:insideH w:val="single" w:sz="4" w:color="E2E7EA"/>
              <w:insideV w:val="single" w:sz="4" w:color="E2E7EA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28 参考资料</w:t>
            </w:r>
          </w:p>
        </w:tc>
      </w:tr>
      <w:tr>
        <w:tc>
          <w:tcPr>
            <w:tcW w:type="dxa" w:w="4997"/>
            <w:tcBorders>
              <w:top w:val="single" w:sz="4" w:color="E2E7EA"/>
              <w:left w:val="single" w:sz="4" w:color="E2E7EA"/>
              <w:bottom w:val="single" w:sz="4" w:color="E2E7EA"/>
              <w:right w:val="single" w:sz="4" w:color="E2E7EA"/>
              <w:insideH w:val="single" w:sz="4" w:color="E2E7EA"/>
              <w:insideV w:val="single" w:sz="4" w:color="E2E7EA"/>
            </w:tcBorders>
            <w:tcMar>
              <w:top w:w="75" w:type="dxa"/>
              <w:start w:w="110" w:type="dxa"/>
              <w:bottom w:w="75" w:type="dxa"/>
              <w:end w:w="110" w:type="dxa"/>
            </w:tcMar>
            <w:shd w:fill="F7F9FA"/>
          </w:tcPr>
          <w:p>
            <w:r>
              <w:rPr>
                <w:rFonts w:ascii="Microsoft YaHei" w:hAnsi="Microsoft YaHei" w:eastAsia="Microsoft YaHei"/>
                <w:sz w:val="17"/>
              </w:rPr>
              <w:t>14 Agent 设计</w:t>
            </w:r>
          </w:p>
        </w:tc>
        <w:tc>
          <w:tcPr>
            <w:tcW w:type="dxa" w:w="4997"/>
            <w:tcBorders>
              <w:top w:val="single" w:sz="4" w:color="E2E7EA"/>
              <w:left w:val="single" w:sz="4" w:color="E2E7EA"/>
              <w:bottom w:val="single" w:sz="4" w:color="E2E7EA"/>
              <w:right w:val="single" w:sz="4" w:color="E2E7EA"/>
              <w:insideH w:val="single" w:sz="4" w:color="E2E7EA"/>
              <w:insideV w:val="single" w:sz="4" w:color="E2E7EA"/>
            </w:tcBorders>
            <w:tcMar>
              <w:top w:w="75" w:type="dxa"/>
              <w:start w:w="110" w:type="dxa"/>
              <w:bottom w:w="75" w:type="dxa"/>
              <w:end w:w="110" w:type="dxa"/>
            </w:tcMar>
            <w:shd w:fill="F7F9FA"/>
          </w:tcPr>
          <w:p>
            <w:r>
              <w:rPr>
                <w:rFonts w:ascii="Microsoft YaHei" w:hAnsi="Microsoft YaHei" w:eastAsia="Microsoft YaHei"/>
                <w:sz w:val="17"/>
              </w:rPr>
              <w:t>29 设计基线结论</w:t>
            </w:r>
          </w:p>
        </w:tc>
      </w:tr>
      <w:tr>
        <w:tc>
          <w:tcPr>
            <w:tcW w:type="dxa" w:w="4997"/>
            <w:tcBorders>
              <w:top w:val="single" w:sz="4" w:color="E2E7EA"/>
              <w:left w:val="single" w:sz="4" w:color="E2E7EA"/>
              <w:bottom w:val="single" w:sz="4" w:color="E2E7EA"/>
              <w:right w:val="single" w:sz="4" w:color="E2E7EA"/>
              <w:insideH w:val="single" w:sz="4" w:color="E2E7EA"/>
              <w:insideV w:val="single" w:sz="4" w:color="E2E7EA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15 权限与安全设计</w:t>
            </w:r>
          </w:p>
        </w:tc>
        <w:tc>
          <w:tcPr>
            <w:tcW w:type="dxa" w:w="4997"/>
            <w:tcBorders>
              <w:top w:val="single" w:sz="4" w:color="E2E7EA"/>
              <w:left w:val="single" w:sz="4" w:color="E2E7EA"/>
              <w:bottom w:val="single" w:sz="4" w:color="E2E7EA"/>
              <w:right w:val="single" w:sz="4" w:color="E2E7EA"/>
              <w:insideH w:val="single" w:sz="4" w:color="E2E7EA"/>
              <w:insideV w:val="single" w:sz="4" w:color="E2E7EA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1 文档目的</w:t>
      </w:r>
    </w:p>
    <w:p>
      <w:pPr>
        <w:keepLines w:val="0"/>
      </w:pPr>
      <w:r>
        <w:rPr>
          <w:rFonts w:ascii="Microsoft YaHei" w:hAnsi="Microsoft YaHei" w:eastAsia="Microsoft YaHei"/>
        </w:rPr>
        <w:t>本文档定义矿区智能安全监控与处置平台第一版的产品边界、技术架构、领域模型、数据契约、核心流程、Agent 安全机制、测试方案和开发顺序。它既是后续开发的设计基线，也是项目复盘、团队协作和技术面试讲解的依据。</w:t>
      </w:r>
    </w:p>
    <w:p>
      <w:pPr>
        <w:keepLines w:val="0"/>
      </w:pPr>
      <w:r>
        <w:rPr>
          <w:rFonts w:ascii="Microsoft YaHei" w:hAnsi="Microsoft YaHei" w:eastAsia="Microsoft YaHei"/>
        </w:rPr>
        <w:t>平台不是让大模型直接监控视频或任意操作业务系统，而是采用分层职责：视觉模型负责感知，规则引擎负责确定性判断，RAG 提供可追溯的规程证据，Agent 生成结构化研判和处置计划，Java 业务服务负责权限、事务、状态迁移与工具执行，高风险动作必须由人确认。</w:t>
      </w:r>
    </w:p>
    <w:p>
      <w:pPr>
        <w:pStyle w:val="Heading1"/>
      </w:pPr>
      <w:r>
        <w:t>2 当前基础与建设结论</w:t>
      </w:r>
    </w:p>
    <w:p>
      <w:pPr>
        <w:keepLines w:val="0"/>
      </w:pPr>
      <w:r>
        <w:rPr>
          <w:rFonts w:ascii="Microsoft YaHei" w:hAnsi="Microsoft YaHei" w:eastAsia="Microsoft YaHei"/>
        </w:rPr>
        <w:t>项目已有两项经过真实运行验证的基础能力。</w:t>
      </w:r>
    </w:p>
    <w:p>
      <w:pPr>
        <w:keepLines w:val="0"/>
      </w:pPr>
      <w:r>
        <w:rPr>
          <w:rFonts w:ascii="Microsoft YaHei" w:hAnsi="Microsoft YaHei" w:eastAsia="Microsoft YaHei"/>
        </w:rPr>
        <w:t>第一，已经建立六分类目标检测的数据治理闭环。六个单类别 Teacher 对 29,071 张图像完成 174,426 次模型图像推理，形成 99,696 条预测证据和 30,183 条人工审核任务。流水线使用单模型串行加载、FP16、流式读取、动态 Batch、OOM 自动降级、增量落盘和断点续跑，保持源标签只读。</w:t>
      </w:r>
    </w:p>
    <w:p>
      <w:pPr>
        <w:keepLines w:val="0"/>
      </w:pPr>
      <w:r>
        <w:rPr>
          <w:rFonts w:ascii="Microsoft YaHei" w:hAnsi="Microsoft YaHei" w:eastAsia="Microsoft YaHei"/>
        </w:rPr>
        <w:t>第二，已经开发 Spring Boot 4、Vue 3 和 MySQL 多人审核平台，具备 JWT 与 RBAC、项目成员隔离、图片级悲观锁原子领图、租约心跳、乐观版本控制、Flyway 数据迁移和审计日志，并在校园网环境完成多账号协作审核。</w:t>
      </w:r>
    </w:p>
    <w:p>
      <w:pPr>
        <w:keepLines w:val="0"/>
      </w:pPr>
      <w:r>
        <w:rPr>
          <w:rFonts w:ascii="Microsoft YaHei" w:hAnsi="Microsoft YaHei" w:eastAsia="Microsoft YaHei"/>
        </w:rPr>
        <w:t>人工审核数据重新训练后的 YOLO26m 模型，在未参与训练的 4,359 张 test 图像、640 输入尺寸下，相比基线模型取得以下结果。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基线模型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新模型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变化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Precision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83.31%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84.10%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增加 0.79 个百分点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Recall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72.12%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81.44%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增加 9.32 个百分点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mAP50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79.64%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88.34%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增加 8.70 个百分点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mAP50 95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55.79%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63.47%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增加 7.67 个百分点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24436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metrics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43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i/>
          <w:color w:val="536471"/>
          <w:sz w:val="18"/>
        </w:rPr>
        <w:t>图 1  审核数据重训模型与基线模型独立测试对比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8004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i/>
          <w:color w:val="536471"/>
          <w:sz w:val="18"/>
        </w:rPr>
        <w:t>图 2  已运行的多人补标审核平台进度看板</w:t>
      </w:r>
    </w:p>
    <w:p>
      <w:pPr>
        <w:keepLines w:val="0"/>
      </w:pPr>
      <w:r>
        <w:rPr>
          <w:rFonts w:ascii="Microsoft YaHei" w:hAnsi="Microsoft YaHei" w:eastAsia="Microsoft YaHei"/>
        </w:rPr>
        <w:t>建设结论是保留现有补标平台作为独立数据治理子系统，在新仓库中建设在线监控、告警、知识和 Agent 处置主链路。两个系统通过审核任务、反馈样本、数据集版本和模型版本进行集成，不把离线训练逻辑耦合进在线业务服务。</w:t>
      </w:r>
    </w:p>
    <w:p>
      <w:pPr>
        <w:pStyle w:val="Heading1"/>
      </w:pPr>
      <w:r>
        <w:t>3 产品定位</w:t>
      </w:r>
    </w:p>
    <w:p>
      <w:pPr>
        <w:keepLines w:val="0"/>
      </w:pPr>
      <w:r>
        <w:rPr>
          <w:rFonts w:ascii="Microsoft YaHei" w:hAnsi="Microsoft YaHei" w:eastAsia="Microsoft YaHei"/>
        </w:rPr>
        <w:t>产品名称为 MineGuard Agent 矿区智能安全监控与处置平台。</w:t>
      </w:r>
    </w:p>
    <w:p>
      <w:pPr>
        <w:keepLines w:val="0"/>
      </w:pPr>
      <w:r>
        <w:rPr>
          <w:rFonts w:ascii="Microsoft YaHei" w:hAnsi="Microsoft YaHei" w:eastAsia="Microsoft YaHei"/>
        </w:rPr>
        <w:t>目标用户包括监控值班员、安全员、班组负责人、系统管理员、模型管理员和审计人员。</w:t>
      </w:r>
    </w:p>
    <w:p>
      <w:pPr>
        <w:keepLines w:val="0"/>
      </w:pPr>
      <w:r>
        <w:rPr>
          <w:rFonts w:ascii="Microsoft YaHei" w:hAnsi="Microsoft YaHei" w:eastAsia="Microsoft YaHei"/>
        </w:rPr>
        <w:t>平台解决五类问题。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将摄像头和录像中的视觉检测结果转换为可追踪的业务事件。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使用时序规则过滤单帧抖动和偶发误检，形成稳定告警。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为告警检索适用的安全规程和历史处置依据。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使用受控 Agent 生成风险研判、处置建议和工单草稿。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将误报、漏报和困难样本送回补标平台，持续迭代数据集和模型。</w:t>
      </w:r>
    </w:p>
    <w:p>
      <w:pPr>
        <w:pStyle w:val="Heading1"/>
      </w:pPr>
      <w:r>
        <w:t>4 第一版范围</w:t>
      </w:r>
    </w:p>
    <w:p>
      <w:pPr>
        <w:pStyle w:val="Heading2"/>
      </w:pPr>
      <w:r>
        <w:t>4.1 第一版必须实现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使用本地视频、摄像头或 RTSP 地址产生检测事件。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接收并持久化统一格式的检测事件。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支持按摄像头、类别、置信度、区域和时间窗配置告警规则。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支持二十秒内三次吸烟等多帧聚合策略。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支持告警去重、合并、抑制、确认、误报和关闭。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支持工单创建、领取、处理、复核和完成。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支持安全规程入库、混合检索、重排和原文引用。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支持 Agent 研判、工具调用、人工审批和全过程审计。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支持将告警反馈转换为补标候选。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支持 Docker Compose 启动开发环境和固定录像一键演示。</w:t>
      </w:r>
    </w:p>
    <w:p>
      <w:pPr>
        <w:pStyle w:val="Heading2"/>
      </w:pPr>
      <w:r>
        <w:t>4.2 第一版不做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不追求未经验证的真实二十路摄像头生产承载能力。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不让大模型直接连接数据库或执行任意 SQL。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不允许 Agent 绕过业务服务直接改变告警和工单状态。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不把一次模型预测直接视为违规事实。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不在第一版拆分大量微服务或引入 Kubernetes。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不声称替代安全员完成最终责任认定。</w:t>
      </w:r>
    </w:p>
    <w:p>
      <w:pPr>
        <w:pStyle w:val="Heading1"/>
        <w:pageBreakBefore/>
      </w:pPr>
      <w:r>
        <w:t>5 总体架构</w:t>
      </w:r>
    </w:p>
    <w:p>
      <w:pPr>
        <w:keepLines w:val="0"/>
      </w:pPr>
      <w:r>
        <w:rPr>
          <w:rFonts w:ascii="Microsoft YaHei" w:hAnsi="Microsoft YaHei" w:eastAsia="Microsoft YaHei"/>
        </w:rPr>
        <w:t>平台采用三个业务可部署单元和六类基础设施。</w:t>
      </w:r>
    </w:p>
    <w:p>
      <w:pPr>
        <w:spacing w:before="100" w:after="160" w:line="240" w:lineRule="auto"/>
        <w:ind w:left="259" w:right="259"/>
        <w:shd w:fill="F3F5F7"/>
      </w:pPr>
      <w:r>
        <w:rPr>
          <w:rFonts w:ascii="Consolas" w:hAnsi="Consolas" w:eastAsia="Consolas"/>
          <w:color w:val="23313D"/>
          <w:sz w:val="17"/>
        </w:rPr>
        <w:t>摄像头 本地视频 RTSP</w:t>
        <w:br/>
      </w:r>
      <w:r>
        <w:rPr>
          <w:rFonts w:ascii="Consolas" w:hAnsi="Consolas" w:eastAsia="Consolas"/>
          <w:color w:val="23313D"/>
          <w:sz w:val="17"/>
        </w:rPr>
        <w:t xml:space="preserve">        |</w:t>
        <w:br/>
      </w:r>
      <w:r>
        <w:rPr>
          <w:rFonts w:ascii="Consolas" w:hAnsi="Consolas" w:eastAsia="Consolas"/>
          <w:color w:val="23313D"/>
          <w:sz w:val="17"/>
        </w:rPr>
        <w:t xml:space="preserve">        v</w:t>
        <w:br/>
      </w:r>
      <w:r>
        <w:rPr>
          <w:rFonts w:ascii="Consolas" w:hAnsi="Consolas" w:eastAsia="Consolas"/>
          <w:color w:val="23313D"/>
          <w:sz w:val="17"/>
        </w:rPr>
        <w:t>vision inference  Python YOLO26</w:t>
        <w:br/>
      </w:r>
      <w:r>
        <w:rPr>
          <w:rFonts w:ascii="Consolas" w:hAnsi="Consolas" w:eastAsia="Consolas"/>
          <w:color w:val="23313D"/>
          <w:sz w:val="17"/>
        </w:rPr>
        <w:t xml:space="preserve">        |</w:t>
        <w:br/>
      </w:r>
      <w:r>
        <w:rPr>
          <w:rFonts w:ascii="Consolas" w:hAnsi="Consolas" w:eastAsia="Consolas"/>
          <w:color w:val="23313D"/>
          <w:sz w:val="17"/>
        </w:rPr>
        <w:t xml:space="preserve">        | detection frame event</w:t>
        <w:br/>
      </w:r>
      <w:r>
        <w:rPr>
          <w:rFonts w:ascii="Consolas" w:hAnsi="Consolas" w:eastAsia="Consolas"/>
          <w:color w:val="23313D"/>
          <w:sz w:val="17"/>
        </w:rPr>
        <w:t xml:space="preserve">        v</w:t>
        <w:br/>
      </w:r>
      <w:r>
        <w:rPr>
          <w:rFonts w:ascii="Consolas" w:hAnsi="Consolas" w:eastAsia="Consolas"/>
          <w:color w:val="23313D"/>
          <w:sz w:val="17"/>
        </w:rPr>
        <w:t>Kafka --------------&gt; safety core  Spring Boot 模块化单体</w:t>
        <w:br/>
      </w:r>
      <w:r>
        <w:rPr>
          <w:rFonts w:ascii="Consolas" w:hAnsi="Consolas" w:eastAsia="Consolas"/>
          <w:color w:val="23313D"/>
          <w:sz w:val="17"/>
        </w:rPr>
        <w:t xml:space="preserve">                           |  |  |  |</w:t>
        <w:br/>
      </w:r>
      <w:r>
        <w:rPr>
          <w:rFonts w:ascii="Consolas" w:hAnsi="Consolas" w:eastAsia="Consolas"/>
          <w:color w:val="23313D"/>
          <w:sz w:val="17"/>
        </w:rPr>
        <w:t xml:space="preserve">                           |  |  |  +--&gt; Spring AI Agent 与 RAG</w:t>
        <w:br/>
      </w:r>
      <w:r>
        <w:rPr>
          <w:rFonts w:ascii="Consolas" w:hAnsi="Consolas" w:eastAsia="Consolas"/>
          <w:color w:val="23313D"/>
          <w:sz w:val="17"/>
        </w:rPr>
        <w:t xml:space="preserve">                           |  |  +-----&gt; Redis 时间窗与幂等</w:t>
        <w:br/>
      </w:r>
      <w:r>
        <w:rPr>
          <w:rFonts w:ascii="Consolas" w:hAnsi="Consolas" w:eastAsia="Consolas"/>
          <w:color w:val="23313D"/>
          <w:sz w:val="17"/>
        </w:rPr>
        <w:t xml:space="preserve">                           |  +--------&gt; MySQL 业务数据与审计</w:t>
        <w:br/>
      </w:r>
      <w:r>
        <w:rPr>
          <w:rFonts w:ascii="Consolas" w:hAnsi="Consolas" w:eastAsia="Consolas"/>
          <w:color w:val="23313D"/>
          <w:sz w:val="17"/>
        </w:rPr>
        <w:t xml:space="preserve">                           +-----------&gt; MinIO 截图和视频片段</w:t>
        <w:br/>
      </w:r>
      <w:r>
        <w:rPr>
          <w:rFonts w:ascii="Consolas" w:hAnsi="Consolas" w:eastAsia="Consolas"/>
          <w:color w:val="23313D"/>
          <w:sz w:val="17"/>
        </w:rPr>
        <w:t xml:space="preserve">                                      |</w:t>
        <w:br/>
      </w:r>
      <w:r>
        <w:rPr>
          <w:rFonts w:ascii="Consolas" w:hAnsi="Consolas" w:eastAsia="Consolas"/>
          <w:color w:val="23313D"/>
          <w:sz w:val="17"/>
        </w:rPr>
        <w:t xml:space="preserve">                                      v</w:t>
        <w:br/>
      </w:r>
      <w:r>
        <w:rPr>
          <w:rFonts w:ascii="Consolas" w:hAnsi="Consolas" w:eastAsia="Consolas"/>
          <w:color w:val="23313D"/>
          <w:sz w:val="17"/>
        </w:rPr>
        <w:t xml:space="preserve">                              web console  Vue3</w:t>
        <w:br/>
      </w:r>
      <w:r>
        <w:rPr>
          <w:rFonts w:ascii="Consolas" w:hAnsi="Consolas" w:eastAsia="Consolas"/>
          <w:color w:val="23313D"/>
          <w:sz w:val="17"/>
        </w:rPr>
        <w:t xml:space="preserve">                                      |</w:t>
        <w:br/>
      </w:r>
      <w:r>
        <w:rPr>
          <w:rFonts w:ascii="Consolas" w:hAnsi="Consolas" w:eastAsia="Consolas"/>
          <w:color w:val="23313D"/>
          <w:sz w:val="17"/>
        </w:rPr>
        <w:t xml:space="preserve">                                      v</w:t>
        <w:br/>
      </w:r>
      <w:r>
        <w:rPr>
          <w:rFonts w:ascii="Consolas" w:hAnsi="Consolas" w:eastAsia="Consolas"/>
          <w:color w:val="23313D"/>
          <w:sz w:val="17"/>
        </w:rPr>
        <w:t xml:space="preserve">                              补标平台与训练流水线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2964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cal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96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i/>
          <w:color w:val="536471"/>
          <w:sz w:val="18"/>
        </w:rPr>
        <w:t>图 3  MineGuard Agent 逻辑架构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建议技术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主要职责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vision inference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Python FastAPI YOLO26 OpenCV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视频读取、抽帧、推理、同帧画框、检测事件发布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safety core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Java 21 Spring Boot 4 Spring Modulith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设备、规则、告警、工单、知识、Agent、权限和审计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web console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Vue 3 TypeScript Vite Element Plus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监控、告警、Agent 证据、工单和管理界面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MySQL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MySQL 8 系列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业务事实、状态、配置、审计和 Outbox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Redis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Redis 7 系列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时间窗、幂等键、短期状态、限流和缓存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Kafka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Kafka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检测事件、告警事件、反馈事件和削峰解耦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Elasticsearch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Elasticsearch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BM25 与向量混合检索、安全规程索引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MinIO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MinIO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原始截图、标注图、告警视频片段和附件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Observability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Micrometer OpenTelemetry Prometheus Grafana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指标、日志和跨服务追踪</w:t>
            </w:r>
          </w:p>
        </w:tc>
      </w:tr>
    </w:tbl>
    <w:p>
      <w:pPr>
        <w:spacing w:after="40"/>
      </w:pPr>
    </w:p>
    <w:p>
      <w:pPr>
        <w:pStyle w:val="Heading1"/>
      </w:pPr>
      <w:r>
        <w:t>6 架构原则</w:t>
      </w:r>
    </w:p>
    <w:p>
      <w:pPr>
        <w:pStyle w:val="Heading2"/>
      </w:pPr>
      <w:r>
        <w:t>6.1 确定性逻辑优先</w:t>
      </w:r>
    </w:p>
    <w:p>
      <w:pPr>
        <w:keepLines w:val="0"/>
      </w:pPr>
      <w:r>
        <w:rPr>
          <w:rFonts w:ascii="Microsoft YaHei" w:hAnsi="Microsoft YaHei" w:eastAsia="Microsoft YaHei"/>
        </w:rPr>
        <w:t>检测阈值、时间窗、告警抑制、权限、状态迁移和工具执行必须由确定性代码完成。大模型只负责需要语言理解和知识推理的环节。</w:t>
      </w:r>
    </w:p>
    <w:p>
      <w:pPr>
        <w:pStyle w:val="Heading2"/>
      </w:pPr>
      <w:r>
        <w:t>6.2 Agent 是规划者而不是数据库操作者</w:t>
      </w:r>
    </w:p>
    <w:p>
      <w:pPr>
        <w:keepLines w:val="0"/>
      </w:pPr>
      <w:r>
        <w:rPr>
          <w:rFonts w:ascii="Microsoft YaHei" w:hAnsi="Microsoft YaHei" w:eastAsia="Microsoft YaHei"/>
        </w:rPr>
        <w:t>模型可以提出调用工具的请求，但工具是否允许执行、使用什么参数以及是否需要人工批准由 Java 策略层决定。工具只能调用领域服务，不向模型提供数据库连接、文件系统或任意网络访问。</w:t>
      </w:r>
    </w:p>
    <w:p>
      <w:pPr>
        <w:pStyle w:val="Heading2"/>
      </w:pPr>
      <w:r>
        <w:t>6.3 在线链路与训练链路隔离</w:t>
      </w:r>
    </w:p>
    <w:p>
      <w:pPr>
        <w:keepLines w:val="0"/>
      </w:pPr>
      <w:r>
        <w:rPr>
          <w:rFonts w:ascii="Microsoft YaHei" w:hAnsi="Microsoft YaHei" w:eastAsia="Microsoft YaHei"/>
        </w:rPr>
        <w:t>在线系统只加载经过登记和审核的模型版本。补标、训练、评测和模型发布在离线流水线完成，通过模型注册记录进入在线系统。</w:t>
      </w:r>
    </w:p>
    <w:p>
      <w:pPr>
        <w:pStyle w:val="Heading2"/>
      </w:pPr>
      <w:r>
        <w:t>6.4 所有关键操作可追溯</w:t>
      </w:r>
    </w:p>
    <w:p>
      <w:pPr>
        <w:keepLines w:val="0"/>
      </w:pPr>
      <w:r>
        <w:rPr>
          <w:rFonts w:ascii="Microsoft YaHei" w:hAnsi="Microsoft YaHei" w:eastAsia="Microsoft YaHei"/>
        </w:rPr>
        <w:t>检测事件、规则版本、模型版本、检索证据、Prompt 版本、Agent 输出、工具参数、审批人和状态变化必须可关联、可查询、可回放。</w:t>
      </w:r>
    </w:p>
    <w:p>
      <w:pPr>
        <w:pStyle w:val="Heading2"/>
      </w:pPr>
      <w:r>
        <w:t>6.5 先模块化单体后服务化</w:t>
      </w:r>
    </w:p>
    <w:p>
      <w:pPr>
        <w:keepLines w:val="0"/>
      </w:pPr>
      <w:r>
        <w:rPr>
          <w:rFonts w:ascii="Microsoft YaHei" w:hAnsi="Microsoft YaHei" w:eastAsia="Microsoft YaHei"/>
        </w:rPr>
        <w:t>第一版使用 Spring Modulith 管理模块边界和领域事件。只有当推理、知识检索或告警处理出现独立扩缩容需求时才拆分服务。</w:t>
      </w:r>
    </w:p>
    <w:p>
      <w:pPr>
        <w:pStyle w:val="Heading1"/>
      </w:pPr>
      <w:r>
        <w:t>7 领域模块设计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聚合根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核心能力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主要依赖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identity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 Role ProjectMembership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登录、权限、数据范围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MySQL Redis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device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Device CameraChannel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设备、通道、RTSP、心跳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MySQL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model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ModelVersion Deployment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模型登记、灰度、回滚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MySQL MinIO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detection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DetectionEvent DetectionObject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事件接收、校验、幂等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Kafka MySQL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rule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AlertRule RuleVersion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时间窗、区域、组合规则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MySQL Redis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alert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Alert AlertEvidence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告警生成、合并和状态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MySQL MinIO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workorder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WorkOrder WorkOrderAction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工单状态和协作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MySQL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knowledge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KnowledgeDocument KnowledgeChunk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文档版本、检索和引用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MySQL Elasticsearch MinIO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agent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AgentRun AgentStep PendingAction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研判、规划、工具、审批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Spring AI MySQL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feedback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FeedbackSample DatasetCandidate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误报漏报与补标接口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MySQL MinIO Kafka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audit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AuditLog OutboxEvent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审计和可靠事件发布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MySQL Kafka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Microsoft YaHei" w:hAnsi="Microsoft YaHei" w:eastAsia="Microsoft YaHei"/>
        </w:rPr>
        <w:t>模块之间不得直接访问对方 Repository。同步查询通过公开 Application Service，异步协作优先使用领域事件。</w:t>
      </w:r>
    </w:p>
    <w:p>
      <w:pPr>
        <w:pStyle w:val="Heading1"/>
        <w:pageBreakBefore/>
      </w:pPr>
      <w:r>
        <w:t>8 核心数据模型</w:t>
      </w:r>
    </w:p>
    <w:p>
      <w:pPr>
        <w:pStyle w:val="Heading2"/>
      </w:pPr>
      <w:r>
        <w:t>8.1 主要数据表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表名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说明与索引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 username password_hash status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username 唯一索引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roles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 code name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code 唯一索引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user_roles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user_id role_id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联合唯一索引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devices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 code name status location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code 唯一索引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camera_channels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 device_id code rtsp_secret_ref enabled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device_id code 联合唯一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model_versions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 model_name version hash status metrics_json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model_name version 联合唯一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detection_events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 event_id camera_id frame_id captured_at model_version payload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event_id 唯一，camera_id captured_at 索引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detection_objects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 event_id class_name confidence box_json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event_id class_name 索引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alert_rules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 name type enabled current_version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enabled type 索引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alert_rule_versions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 rule_id version config_json created_at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rule_id version 唯一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alerts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 alert_no camera_id class_name risk_level state first_seen last_seen version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camera_id state created_at 索引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alert_evidence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 alert_id event_id object_key evidence_type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alert_id 索引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work_orders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 order_no alert_id assignee state priority due_at version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order_no 唯一，assignee state 索引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work_order_actions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 work_order_id actor action before_state after_state comment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work_order_id created_at 索引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knowledge_documents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 title version status object_key checksum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title version 唯一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knowledge_chunks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 document_id clause_no page_no content index_id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document_id clause_no 索引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agent_runs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 run_no alert_id model prompt_version state risk_level started_at finished_at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alert_id created_at 索引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agent_steps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 run_id step_no type input_json output_json duration_ms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run_id step_no 唯一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tool_invocations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 run_id tool_name idempotency_key status arguments_json result_json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idempotency_key 唯一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pending_actions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 run_id action_type payload status approver version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status created_at 索引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feedback_samples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 alert_id feedback_type reviewer object_key status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status created_at 索引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outbox_events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 aggregate_type aggregate_id topic payload status retry_count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status created_at 索引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audit_logs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 trace_id actor action resource_type resource_id details created_at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trace_id 和资源索引</w:t>
            </w:r>
          </w:p>
        </w:tc>
      </w:tr>
    </w:tbl>
    <w:p>
      <w:pPr>
        <w:spacing w:after="40"/>
      </w:pPr>
    </w:p>
    <w:p>
      <w:pPr>
        <w:pStyle w:val="Heading2"/>
      </w:pPr>
      <w:r>
        <w:t>8.2 数据原则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原始检测载荷可保存为 JSON，但用于查询和规则计算的字段必须结构化。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RTSP 密码、模型密钥和大模型密钥不存明文，表中只存密钥引用。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图片和视频不写入 MySQL BLOB，统一存入 MinIO，数据库保存对象键和校验值。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状态型聚合根使用 version 字段进行乐观锁控制。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所有业务表统一使用 UTC 时间，前端按用户时区显示。</w:t>
      </w:r>
    </w:p>
    <w:p>
      <w:pPr>
        <w:pStyle w:val="Heading1"/>
      </w:pPr>
      <w:r>
        <w:t>9 事件协议</w:t>
      </w:r>
    </w:p>
    <w:p>
      <w:pPr>
        <w:pStyle w:val="Heading2"/>
      </w:pPr>
      <w:r>
        <w:t>9.1 Kafka Topic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Topic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生产者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消费者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分区键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vision.detection.frame.v1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vision inference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detection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cameraId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safety.alert.created.v1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alert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agent web notification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alertId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safety.alert.changed.v1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alert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workorder audit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alertId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safety.workorder.changed.v1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workorder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notification audit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workOrderId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ai.agent.completed.v1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agent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alert notification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alertId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ml.feedback.created.v1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feedback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label recovery bridge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cameraId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Microsoft YaHei" w:hAnsi="Microsoft YaHei" w:eastAsia="Microsoft YaHei"/>
        </w:rPr>
        <w:t>每个 Topic 建立对应死信 Topic。事件 Envelope 必须包含 eventId、eventType、schemaVersion、occurredAt、producer、traceId、aggregateId 和 payload。</w:t>
      </w:r>
    </w:p>
    <w:p>
      <w:pPr>
        <w:pStyle w:val="Heading2"/>
      </w:pPr>
      <w:r>
        <w:t>9.2 检测事件示例</w:t>
      </w:r>
    </w:p>
    <w:p>
      <w:pPr>
        <w:spacing w:before="100" w:after="160" w:line="240" w:lineRule="auto"/>
        <w:ind w:left="259" w:right="259"/>
        <w:shd w:fill="F3F5F7"/>
      </w:pPr>
      <w:r>
        <w:rPr>
          <w:rFonts w:ascii="Consolas" w:hAnsi="Consolas" w:eastAsia="Consolas"/>
          <w:color w:val="23313D"/>
          <w:sz w:val="17"/>
        </w:rPr>
        <w:t>{</w:t>
        <w:br/>
      </w:r>
      <w:r>
        <w:rPr>
          <w:rFonts w:ascii="Consolas" w:hAnsi="Consolas" w:eastAsia="Consolas"/>
          <w:color w:val="23313D"/>
          <w:sz w:val="17"/>
        </w:rPr>
        <w:t xml:space="preserve">  "eventId": "01K4DEMO0001",</w:t>
        <w:br/>
      </w:r>
      <w:r>
        <w:rPr>
          <w:rFonts w:ascii="Consolas" w:hAnsi="Consolas" w:eastAsia="Consolas"/>
          <w:color w:val="23313D"/>
          <w:sz w:val="17"/>
        </w:rPr>
        <w:t xml:space="preserve">  "eventType": "DetectionFrameCreated",</w:t>
        <w:br/>
      </w:r>
      <w:r>
        <w:rPr>
          <w:rFonts w:ascii="Consolas" w:hAnsi="Consolas" w:eastAsia="Consolas"/>
          <w:color w:val="23313D"/>
          <w:sz w:val="17"/>
        </w:rPr>
        <w:t xml:space="preserve">  "schemaVersion": 1,</w:t>
        <w:br/>
      </w:r>
      <w:r>
        <w:rPr>
          <w:rFonts w:ascii="Consolas" w:hAnsi="Consolas" w:eastAsia="Consolas"/>
          <w:color w:val="23313D"/>
          <w:sz w:val="17"/>
        </w:rPr>
        <w:t xml:space="preserve">  "occurredAt": "2026-09-12T10:20:30.188Z",</w:t>
        <w:br/>
      </w:r>
      <w:r>
        <w:rPr>
          <w:rFonts w:ascii="Consolas" w:hAnsi="Consolas" w:eastAsia="Consolas"/>
          <w:color w:val="23313D"/>
          <w:sz w:val="17"/>
        </w:rPr>
        <w:t xml:space="preserve">  "producer": "vision-inference-01",</w:t>
        <w:br/>
      </w:r>
      <w:r>
        <w:rPr>
          <w:rFonts w:ascii="Consolas" w:hAnsi="Consolas" w:eastAsia="Consolas"/>
          <w:color w:val="23313D"/>
          <w:sz w:val="17"/>
        </w:rPr>
        <w:t xml:space="preserve">  "traceId": "4d8f9f2a",</w:t>
        <w:br/>
      </w:r>
      <w:r>
        <w:rPr>
          <w:rFonts w:ascii="Consolas" w:hAnsi="Consolas" w:eastAsia="Consolas"/>
          <w:color w:val="23313D"/>
          <w:sz w:val="17"/>
        </w:rPr>
        <w:t xml:space="preserve">  "aggregateId": "CAM-001",</w:t>
        <w:br/>
      </w:r>
      <w:r>
        <w:rPr>
          <w:rFonts w:ascii="Consolas" w:hAnsi="Consolas" w:eastAsia="Consolas"/>
          <w:color w:val="23313D"/>
          <w:sz w:val="17"/>
        </w:rPr>
        <w:t xml:space="preserve">  "payload": {</w:t>
        <w:br/>
      </w:r>
      <w:r>
        <w:rPr>
          <w:rFonts w:ascii="Consolas" w:hAnsi="Consolas" w:eastAsia="Consolas"/>
          <w:color w:val="23313D"/>
          <w:sz w:val="17"/>
        </w:rPr>
        <w:t xml:space="preserve">    "cameraId": "CAM-001",</w:t>
        <w:br/>
      </w:r>
      <w:r>
        <w:rPr>
          <w:rFonts w:ascii="Consolas" w:hAnsi="Consolas" w:eastAsia="Consolas"/>
          <w:color w:val="23313D"/>
          <w:sz w:val="17"/>
        </w:rPr>
        <w:t xml:space="preserve">    "frameId": 18230,</w:t>
        <w:br/>
      </w:r>
      <w:r>
        <w:rPr>
          <w:rFonts w:ascii="Consolas" w:hAnsi="Consolas" w:eastAsia="Consolas"/>
          <w:color w:val="23313D"/>
          <w:sz w:val="17"/>
        </w:rPr>
        <w:t xml:space="preserve">    "capturedAt": "2026-09-12T10:20:30.120Z",</w:t>
        <w:br/>
      </w:r>
      <w:r>
        <w:rPr>
          <w:rFonts w:ascii="Consolas" w:hAnsi="Consolas" w:eastAsia="Consolas"/>
          <w:color w:val="23313D"/>
          <w:sz w:val="17"/>
        </w:rPr>
        <w:t xml:space="preserve">    "inferredAt": "2026-09-12T10:20:30.180Z",</w:t>
        <w:br/>
      </w:r>
      <w:r>
        <w:rPr>
          <w:rFonts w:ascii="Consolas" w:hAnsi="Consolas" w:eastAsia="Consolas"/>
          <w:color w:val="23313D"/>
          <w:sz w:val="17"/>
        </w:rPr>
        <w:t xml:space="preserve">    "modelVersion": "company-reviewed-v3",</w:t>
        <w:br/>
      </w:r>
      <w:r>
        <w:rPr>
          <w:rFonts w:ascii="Consolas" w:hAnsi="Consolas" w:eastAsia="Consolas"/>
          <w:color w:val="23313D"/>
          <w:sz w:val="17"/>
        </w:rPr>
        <w:t xml:space="preserve">    "imageWidth": 1920,</w:t>
        <w:br/>
      </w:r>
      <w:r>
        <w:rPr>
          <w:rFonts w:ascii="Consolas" w:hAnsi="Consolas" w:eastAsia="Consolas"/>
          <w:color w:val="23313D"/>
          <w:sz w:val="17"/>
        </w:rPr>
        <w:t xml:space="preserve">    "imageHeight": 1080,</w:t>
        <w:br/>
      </w:r>
      <w:r>
        <w:rPr>
          <w:rFonts w:ascii="Consolas" w:hAnsi="Consolas" w:eastAsia="Consolas"/>
          <w:color w:val="23313D"/>
          <w:sz w:val="17"/>
        </w:rPr>
        <w:t xml:space="preserve">    "sourceObjectKey": "frames/CAM-001/18230.jpg",</w:t>
        <w:br/>
      </w:r>
      <w:r>
        <w:rPr>
          <w:rFonts w:ascii="Consolas" w:hAnsi="Consolas" w:eastAsia="Consolas"/>
          <w:color w:val="23313D"/>
          <w:sz w:val="17"/>
        </w:rPr>
        <w:t xml:space="preserve">    "objects": [</w:t>
        <w:br/>
      </w:r>
      <w:r>
        <w:rPr>
          <w:rFonts w:ascii="Consolas" w:hAnsi="Consolas" w:eastAsia="Consolas"/>
          <w:color w:val="23313D"/>
          <w:sz w:val="17"/>
        </w:rPr>
        <w:t xml:space="preserve">      {</w:t>
        <w:br/>
      </w:r>
      <w:r>
        <w:rPr>
          <w:rFonts w:ascii="Consolas" w:hAnsi="Consolas" w:eastAsia="Consolas"/>
          <w:color w:val="23313D"/>
          <w:sz w:val="17"/>
        </w:rPr>
        <w:t xml:space="preserve">        "className": "smoking",</w:t>
        <w:br/>
      </w:r>
      <w:r>
        <w:rPr>
          <w:rFonts w:ascii="Consolas" w:hAnsi="Consolas" w:eastAsia="Consolas"/>
          <w:color w:val="23313D"/>
          <w:sz w:val="17"/>
        </w:rPr>
        <w:t xml:space="preserve">        "confidence": 0.82,</w:t>
        <w:br/>
      </w:r>
      <w:r>
        <w:rPr>
          <w:rFonts w:ascii="Consolas" w:hAnsi="Consolas" w:eastAsia="Consolas"/>
          <w:color w:val="23313D"/>
          <w:sz w:val="17"/>
        </w:rPr>
        <w:t xml:space="preserve">        "x1": 418,</w:t>
        <w:br/>
      </w:r>
      <w:r>
        <w:rPr>
          <w:rFonts w:ascii="Consolas" w:hAnsi="Consolas" w:eastAsia="Consolas"/>
          <w:color w:val="23313D"/>
          <w:sz w:val="17"/>
        </w:rPr>
        <w:t xml:space="preserve">        "y1": 210,</w:t>
        <w:br/>
      </w:r>
      <w:r>
        <w:rPr>
          <w:rFonts w:ascii="Consolas" w:hAnsi="Consolas" w:eastAsia="Consolas"/>
          <w:color w:val="23313D"/>
          <w:sz w:val="17"/>
        </w:rPr>
        <w:t xml:space="preserve">        "x2": 506,</w:t>
        <w:br/>
      </w:r>
      <w:r>
        <w:rPr>
          <w:rFonts w:ascii="Consolas" w:hAnsi="Consolas" w:eastAsia="Consolas"/>
          <w:color w:val="23313D"/>
          <w:sz w:val="17"/>
        </w:rPr>
        <w:t xml:space="preserve">        "y2": 355</w:t>
        <w:br/>
      </w:r>
      <w:r>
        <w:rPr>
          <w:rFonts w:ascii="Consolas" w:hAnsi="Consolas" w:eastAsia="Consolas"/>
          <w:color w:val="23313D"/>
          <w:sz w:val="17"/>
        </w:rPr>
        <w:t xml:space="preserve">      }</w:t>
        <w:br/>
      </w:r>
      <w:r>
        <w:rPr>
          <w:rFonts w:ascii="Consolas" w:hAnsi="Consolas" w:eastAsia="Consolas"/>
          <w:color w:val="23313D"/>
          <w:sz w:val="17"/>
        </w:rPr>
        <w:t xml:space="preserve">    ]</w:t>
        <w:br/>
      </w:r>
      <w:r>
        <w:rPr>
          <w:rFonts w:ascii="Consolas" w:hAnsi="Consolas" w:eastAsia="Consolas"/>
          <w:color w:val="23313D"/>
          <w:sz w:val="17"/>
        </w:rPr>
        <w:t xml:space="preserve">  }</w:t>
        <w:br/>
      </w:r>
      <w:r>
        <w:rPr>
          <w:rFonts w:ascii="Consolas" w:hAnsi="Consolas" w:eastAsia="Consolas"/>
          <w:color w:val="23313D"/>
          <w:sz w:val="17"/>
        </w:rPr>
        <w:t>}</w:t>
      </w:r>
    </w:p>
    <w:p>
      <w:pPr>
        <w:keepLines w:val="0"/>
      </w:pPr>
      <w:r>
        <w:rPr>
          <w:rFonts w:ascii="Microsoft YaHei" w:hAnsi="Microsoft YaHei" w:eastAsia="Microsoft YaHei"/>
        </w:rPr>
        <w:t>消费者先按 eventId 幂等，再校验 schemaVersion、时间范围、模型状态、摄像头状态和坐标合法性。未知版本进入隔离队列，不能静默丢弃。</w:t>
      </w:r>
    </w:p>
    <w:p>
      <w:pPr>
        <w:pStyle w:val="Heading1"/>
      </w:pPr>
      <w:r>
        <w:t>10 视频与推理服务设计</w:t>
      </w:r>
    </w:p>
    <w:p>
      <w:pPr>
        <w:pStyle w:val="Heading2"/>
      </w:pPr>
      <w:r>
        <w:t>10.1 职责</w:t>
      </w:r>
    </w:p>
    <w:p>
      <w:pPr>
        <w:keepLines w:val="0"/>
      </w:pPr>
      <w:r>
        <w:rPr>
          <w:rFonts w:ascii="Microsoft YaHei" w:hAnsi="Microsoft YaHei" w:eastAsia="Microsoft YaHei"/>
        </w:rPr>
        <w:t>推理服务负责读取视频、按策略抽帧、图像预处理、模型推理、同帧绘制、结果发布和运行指标，不负责告警判断和工单业务。</w:t>
      </w:r>
    </w:p>
    <w:p>
      <w:pPr>
        <w:pStyle w:val="Heading2"/>
      </w:pPr>
      <w:r>
        <w:t>10.2 抽帧与背压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每路视频维护有限长度帧队列，队列满时优先丢弃旧帧而不是无限堆积。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推理只消费最新可用帧，避免处理已经过期的历史画面。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每帧带 frameId、capturedAt、inferredAt 和 publishedAt。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多路视频使用轮询或公平调度，防止单路高帧率占满 GPU。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部署输入尺寸以现场约束为准，第一版同时记录 640 和 832 的配置差异。</w:t>
      </w:r>
    </w:p>
    <w:p>
      <w:pPr>
        <w:pStyle w:val="Heading2"/>
      </w:pPr>
      <w:r>
        <w:t>10.3 前端画框原则</w:t>
      </w:r>
    </w:p>
    <w:p>
      <w:pPr>
        <w:keepLines w:val="0"/>
      </w:pPr>
      <w:r>
        <w:rPr>
          <w:rFonts w:ascii="Microsoft YaHei" w:hAnsi="Microsoft YaHei" w:eastAsia="Microsoft YaHei"/>
        </w:rPr>
        <w:t>推荐后端在被检测的同一帧上绘制框并推送标注流。若前端绘制，则必须使用 frameId 精确对齐并维护有限帧缓存。前端不得把已经画框的截图再次作为模型输入，避免框线、标签和遮挡污染下一次检测。</w:t>
      </w:r>
    </w:p>
    <w:p>
      <w:pPr>
        <w:pStyle w:val="Heading1"/>
      </w:pPr>
      <w:r>
        <w:t>11 时序告警规则引擎</w:t>
      </w:r>
    </w:p>
    <w:p>
      <w:pPr>
        <w:pStyle w:val="Heading2"/>
      </w:pPr>
      <w:r>
        <w:t>11.1 规则配置</w:t>
      </w:r>
    </w:p>
    <w:p>
      <w:pPr>
        <w:spacing w:before="100" w:after="160" w:line="240" w:lineRule="auto"/>
        <w:ind w:left="259" w:right="259"/>
        <w:shd w:fill="F3F5F7"/>
      </w:pPr>
      <w:r>
        <w:rPr>
          <w:rFonts w:ascii="Consolas" w:hAnsi="Consolas" w:eastAsia="Consolas"/>
          <w:color w:val="23313D"/>
          <w:sz w:val="17"/>
        </w:rPr>
        <w:t>{</w:t>
        <w:br/>
      </w:r>
      <w:r>
        <w:rPr>
          <w:rFonts w:ascii="Consolas" w:hAnsi="Consolas" w:eastAsia="Consolas"/>
          <w:color w:val="23313D"/>
          <w:sz w:val="17"/>
        </w:rPr>
        <w:t xml:space="preserve">  "ruleType": "WINDOW_HIT_COUNT",</w:t>
        <w:br/>
      </w:r>
      <w:r>
        <w:rPr>
          <w:rFonts w:ascii="Consolas" w:hAnsi="Consolas" w:eastAsia="Consolas"/>
          <w:color w:val="23313D"/>
          <w:sz w:val="17"/>
        </w:rPr>
        <w:t xml:space="preserve">  "className": "smoking",</w:t>
        <w:br/>
      </w:r>
      <w:r>
        <w:rPr>
          <w:rFonts w:ascii="Consolas" w:hAnsi="Consolas" w:eastAsia="Consolas"/>
          <w:color w:val="23313D"/>
          <w:sz w:val="17"/>
        </w:rPr>
        <w:t xml:space="preserve">  "minimumConfidence": 0.65,</w:t>
        <w:br/>
      </w:r>
      <w:r>
        <w:rPr>
          <w:rFonts w:ascii="Consolas" w:hAnsi="Consolas" w:eastAsia="Consolas"/>
          <w:color w:val="23313D"/>
          <w:sz w:val="17"/>
        </w:rPr>
        <w:t xml:space="preserve">  "windowSeconds": 20,</w:t>
        <w:br/>
      </w:r>
      <w:r>
        <w:rPr>
          <w:rFonts w:ascii="Consolas" w:hAnsi="Consolas" w:eastAsia="Consolas"/>
          <w:color w:val="23313D"/>
          <w:sz w:val="17"/>
        </w:rPr>
        <w:t xml:space="preserve">  "minimumHits": 3,</w:t>
        <w:br/>
      </w:r>
      <w:r>
        <w:rPr>
          <w:rFonts w:ascii="Consolas" w:hAnsi="Consolas" w:eastAsia="Consolas"/>
          <w:color w:val="23313D"/>
          <w:sz w:val="17"/>
        </w:rPr>
        <w:t xml:space="preserve">  "cooldownSeconds": 60,</w:t>
        <w:br/>
      </w:r>
      <w:r>
        <w:rPr>
          <w:rFonts w:ascii="Consolas" w:hAnsi="Consolas" w:eastAsia="Consolas"/>
          <w:color w:val="23313D"/>
          <w:sz w:val="17"/>
        </w:rPr>
        <w:t xml:space="preserve">  "cameraIds": ["CAM-001"],</w:t>
        <w:br/>
      </w:r>
      <w:r>
        <w:rPr>
          <w:rFonts w:ascii="Consolas" w:hAnsi="Consolas" w:eastAsia="Consolas"/>
          <w:color w:val="23313D"/>
          <w:sz w:val="17"/>
        </w:rPr>
        <w:t xml:space="preserve">  "region": null,</w:t>
        <w:br/>
      </w:r>
      <w:r>
        <w:rPr>
          <w:rFonts w:ascii="Consolas" w:hAnsi="Consolas" w:eastAsia="Consolas"/>
          <w:color w:val="23313D"/>
          <w:sz w:val="17"/>
        </w:rPr>
        <w:t xml:space="preserve">  "enabled": true</w:t>
        <w:br/>
      </w:r>
      <w:r>
        <w:rPr>
          <w:rFonts w:ascii="Consolas" w:hAnsi="Consolas" w:eastAsia="Consolas"/>
          <w:color w:val="23313D"/>
          <w:sz w:val="17"/>
        </w:rPr>
        <w:t>}</w:t>
      </w:r>
    </w:p>
    <w:p>
      <w:pPr>
        <w:pStyle w:val="Heading2"/>
      </w:pPr>
      <w:r>
        <w:t>11.2 执行流程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detection 模块完成事件格式和幂等校验。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rule 模块过滤类别、置信度、摄像头、模型版本和区域。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将命中时间写入 Redis Sorted Set，键为 ruleId 与 cameraId。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删除时间窗之前的成员并统计剩余数量。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达到 minimumHits 后检查 cooldown 键。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未处于抑制期时创建 Alert，并关联触发它的全部证据帧。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在同一数据库事务写入 Alert 和 OutboxEvent。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Outbox 发布器异步发送 AlertCreatedEvent。</w:t>
      </w:r>
    </w:p>
    <w:p>
      <w:pPr>
        <w:keepLines w:val="0"/>
      </w:pPr>
      <w:r>
        <w:rPr>
          <w:rFonts w:ascii="Microsoft YaHei" w:hAnsi="Microsoft YaHei" w:eastAsia="Microsoft YaHei"/>
        </w:rPr>
        <w:t>Redis 只是窗口计算介质，告警事实以 MySQL 为准。Redis 不可用时，系统进入降级模式，将事件暂存或使用数据库低吞吐计算，不允许悄悄跳过告警。</w:t>
      </w:r>
    </w:p>
    <w:p>
      <w:pPr>
        <w:pStyle w:val="Heading2"/>
      </w:pPr>
      <w:r>
        <w:t>11.3 支持的规则类型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SINGLE_HIT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高置信度车辆进入禁区立即告警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WINDOW_HIT_COUNT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二十秒内三次吸烟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CONTINUOUS_DURATION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人员在危险区域持续停留十秒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CLASS_COEXISTENCE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人与拖拉机在危险距离内同时出现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CLASS_ABSENCE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检测到 person 但一定区域未检测到 helmet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SCHEDULED_RULE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夜间指定区域出现人员</w:t>
            </w:r>
          </w:p>
        </w:tc>
      </w:tr>
    </w:tbl>
    <w:p>
      <w:pPr>
        <w:spacing w:after="40"/>
      </w:pPr>
    </w:p>
    <w:p>
      <w:pPr>
        <w:pStyle w:val="Heading1"/>
      </w:pPr>
      <w:r>
        <w:t>12 状态机</w:t>
      </w:r>
    </w:p>
    <w:p>
      <w:pPr>
        <w:pStyle w:val="Heading2"/>
      </w:pPr>
      <w:r>
        <w:t>12.1 告警状态</w:t>
      </w:r>
    </w:p>
    <w:p>
      <w:pPr>
        <w:spacing w:before="100" w:after="160" w:line="240" w:lineRule="auto"/>
        <w:ind w:left="259" w:right="259"/>
        <w:shd w:fill="F3F5F7"/>
      </w:pPr>
      <w:r>
        <w:rPr>
          <w:rFonts w:ascii="Consolas" w:hAnsi="Consolas" w:eastAsia="Consolas"/>
          <w:color w:val="23313D"/>
          <w:sz w:val="17"/>
        </w:rPr>
        <w:t>CANDIDATE -&gt; CONFIRMED -&gt; HANDLING -&gt; CLOSED</w:t>
        <w:br/>
      </w:r>
      <w:r>
        <w:rPr>
          <w:rFonts w:ascii="Consolas" w:hAnsi="Consolas" w:eastAsia="Consolas"/>
          <w:color w:val="23313D"/>
          <w:sz w:val="17"/>
        </w:rPr>
        <w:t xml:space="preserve">    |            |            |</w:t>
        <w:br/>
      </w:r>
      <w:r>
        <w:rPr>
          <w:rFonts w:ascii="Consolas" w:hAnsi="Consolas" w:eastAsia="Consolas"/>
          <w:color w:val="23313D"/>
          <w:sz w:val="17"/>
        </w:rPr>
        <w:t xml:space="preserve">    +----------&gt; FALSE_POSITIVE</w:t>
        <w:br/>
      </w:r>
      <w:r>
        <w:rPr>
          <w:rFonts w:ascii="Consolas" w:hAnsi="Consolas" w:eastAsia="Consolas"/>
          <w:color w:val="23313D"/>
          <w:sz w:val="17"/>
        </w:rPr>
        <w:t xml:space="preserve">    +----------&gt; SUPPRESSED</w:t>
      </w:r>
    </w:p>
    <w:p>
      <w:pPr>
        <w:pStyle w:val="Heading2"/>
      </w:pPr>
      <w:r>
        <w:t>12.2 工单状态</w:t>
      </w:r>
    </w:p>
    <w:p>
      <w:pPr>
        <w:spacing w:before="100" w:after="160" w:line="240" w:lineRule="auto"/>
        <w:ind w:left="259" w:right="259"/>
        <w:shd w:fill="F3F5F7"/>
      </w:pPr>
      <w:r>
        <w:rPr>
          <w:rFonts w:ascii="Consolas" w:hAnsi="Consolas" w:eastAsia="Consolas"/>
          <w:color w:val="23313D"/>
          <w:sz w:val="17"/>
        </w:rPr>
        <w:t>CREATED -&gt; ACCEPTED -&gt; PROCESSING -&gt; WAITING_REVIEW -&gt; COMPLETED</w:t>
        <w:br/>
      </w:r>
      <w:r>
        <w:rPr>
          <w:rFonts w:ascii="Consolas" w:hAnsi="Consolas" w:eastAsia="Consolas"/>
          <w:color w:val="23313D"/>
          <w:sz w:val="17"/>
        </w:rPr>
        <w:t xml:space="preserve">   |           |            |              |</w:t>
        <w:br/>
      </w:r>
      <w:r>
        <w:rPr>
          <w:rFonts w:ascii="Consolas" w:hAnsi="Consolas" w:eastAsia="Consolas"/>
          <w:color w:val="23313D"/>
          <w:sz w:val="17"/>
        </w:rPr>
        <w:t xml:space="preserve">   +---------&gt; CANCELLED &lt;---+-------------&gt; REJECTED</w:t>
      </w:r>
    </w:p>
    <w:p>
      <w:pPr>
        <w:pStyle w:val="Heading2"/>
      </w:pPr>
      <w:r>
        <w:t>12.3 Agent 状态</w:t>
      </w:r>
    </w:p>
    <w:p>
      <w:pPr>
        <w:spacing w:before="100" w:after="160" w:line="240" w:lineRule="auto"/>
        <w:ind w:left="259" w:right="259"/>
        <w:shd w:fill="F3F5F7"/>
      </w:pPr>
      <w:r>
        <w:rPr>
          <w:rFonts w:ascii="Consolas" w:hAnsi="Consolas" w:eastAsia="Consolas"/>
          <w:color w:val="23313D"/>
          <w:sz w:val="17"/>
        </w:rPr>
        <w:t>CREATED -&gt; RETRIEVING -&gt; PLANNING -&gt; POLICY_CHECK</w:t>
        <w:br/>
      </w:r>
      <w:r>
        <w:rPr>
          <w:rFonts w:ascii="Consolas" w:hAnsi="Consolas" w:eastAsia="Consolas"/>
          <w:color w:val="23313D"/>
          <w:sz w:val="17"/>
        </w:rPr>
        <w:t xml:space="preserve">                                      |       |</w:t>
        <w:br/>
      </w:r>
      <w:r>
        <w:rPr>
          <w:rFonts w:ascii="Consolas" w:hAnsi="Consolas" w:eastAsia="Consolas"/>
          <w:color w:val="23313D"/>
          <w:sz w:val="17"/>
        </w:rPr>
        <w:t xml:space="preserve">                                      |       +-&gt; REJECTED</w:t>
        <w:br/>
      </w:r>
      <w:r>
        <w:rPr>
          <w:rFonts w:ascii="Consolas" w:hAnsi="Consolas" w:eastAsia="Consolas"/>
          <w:color w:val="23313D"/>
          <w:sz w:val="17"/>
        </w:rPr>
        <w:t xml:space="preserve">                                      v</w:t>
        <w:br/>
      </w:r>
      <w:r>
        <w:rPr>
          <w:rFonts w:ascii="Consolas" w:hAnsi="Consolas" w:eastAsia="Consolas"/>
          <w:color w:val="23313D"/>
          <w:sz w:val="17"/>
        </w:rPr>
        <w:t xml:space="preserve">                               WAITING_APPROVAL</w:t>
        <w:br/>
      </w:r>
      <w:r>
        <w:rPr>
          <w:rFonts w:ascii="Consolas" w:hAnsi="Consolas" w:eastAsia="Consolas"/>
          <w:color w:val="23313D"/>
          <w:sz w:val="17"/>
        </w:rPr>
        <w:t xml:space="preserve">                                      |</w:t>
        <w:br/>
      </w:r>
      <w:r>
        <w:rPr>
          <w:rFonts w:ascii="Consolas" w:hAnsi="Consolas" w:eastAsia="Consolas"/>
          <w:color w:val="23313D"/>
          <w:sz w:val="17"/>
        </w:rPr>
        <w:t xml:space="preserve">                                      v</w:t>
        <w:br/>
      </w:r>
      <w:r>
        <w:rPr>
          <w:rFonts w:ascii="Consolas" w:hAnsi="Consolas" w:eastAsia="Consolas"/>
          <w:color w:val="23313D"/>
          <w:sz w:val="17"/>
        </w:rPr>
        <w:t xml:space="preserve">                                  EXECUTING</w:t>
        <w:br/>
      </w:r>
      <w:r>
        <w:rPr>
          <w:rFonts w:ascii="Consolas" w:hAnsi="Consolas" w:eastAsia="Consolas"/>
          <w:color w:val="23313D"/>
          <w:sz w:val="17"/>
        </w:rPr>
        <w:t xml:space="preserve">                                  |       |</w:t>
        <w:br/>
      </w:r>
      <w:r>
        <w:rPr>
          <w:rFonts w:ascii="Consolas" w:hAnsi="Consolas" w:eastAsia="Consolas"/>
          <w:color w:val="23313D"/>
          <w:sz w:val="17"/>
        </w:rPr>
        <w:t xml:space="preserve">                                  v       v</w:t>
        <w:br/>
      </w:r>
      <w:r>
        <w:rPr>
          <w:rFonts w:ascii="Consolas" w:hAnsi="Consolas" w:eastAsia="Consolas"/>
          <w:color w:val="23313D"/>
          <w:sz w:val="17"/>
        </w:rPr>
        <w:t xml:space="preserve">                              SUCCEEDED  FAILED</w:t>
      </w:r>
    </w:p>
    <w:p>
      <w:pPr>
        <w:keepLines w:val="0"/>
      </w:pPr>
      <w:r>
        <w:rPr>
          <w:rFonts w:ascii="Microsoft YaHei" w:hAnsi="Microsoft YaHei" w:eastAsia="Microsoft YaHei"/>
        </w:rPr>
        <w:t>状态迁移由聚合根方法完成，不允许 Controller 直接修改状态字段。每次迁移检查当前状态、操作权限、版本号和必要字段，并写入不可变动作记录。</w:t>
      </w:r>
    </w:p>
    <w:p>
      <w:pPr>
        <w:pStyle w:val="Heading1"/>
        <w:pageBreakBefore/>
      </w:pPr>
      <w:r>
        <w:t>13 RAG 知识库设计</w:t>
      </w:r>
    </w:p>
    <w:p>
      <w:pPr>
        <w:pStyle w:val="Heading2"/>
      </w:pPr>
      <w:r>
        <w:t>13.1 文档处理</w:t>
      </w:r>
    </w:p>
    <w:p>
      <w:pPr>
        <w:keepLines w:val="0"/>
      </w:pPr>
      <w:r>
        <w:rPr>
          <w:rFonts w:ascii="Microsoft YaHei" w:hAnsi="Microsoft YaHei" w:eastAsia="Microsoft YaHei"/>
        </w:rPr>
        <w:t>支持 PDF、Word、Markdown 和纯文本。入库流程为文件校验、病毒扫描、内容解析、章节识别、条款切片、元数据补充、Embedding、检索索引和人工抽查。</w:t>
      </w:r>
    </w:p>
    <w:p>
      <w:pPr>
        <w:keepLines w:val="0"/>
      </w:pPr>
      <w:r>
        <w:rPr>
          <w:rFonts w:ascii="Microsoft YaHei" w:hAnsi="Microsoft YaHei" w:eastAsia="Microsoft YaHei"/>
        </w:rPr>
        <w:t>切片优先遵循标题、章节和条款边界。每个 Chunk 保存 documentId、documentVersion、clauseNo、pageNo、effectiveDate、region、equipmentType、riskType 和 checksum。</w:t>
      </w:r>
    </w:p>
    <w:p>
      <w:pPr>
        <w:pStyle w:val="Heading2"/>
      </w:pPr>
      <w:r>
        <w:t>13.2 检索流程</w:t>
      </w:r>
    </w:p>
    <w:p>
      <w:pPr>
        <w:spacing w:before="100" w:after="160" w:line="240" w:lineRule="auto"/>
        <w:ind w:left="259" w:right="259"/>
        <w:shd w:fill="F3F5F7"/>
      </w:pPr>
      <w:r>
        <w:rPr>
          <w:rFonts w:ascii="Consolas" w:hAnsi="Consolas" w:eastAsia="Consolas"/>
          <w:color w:val="23313D"/>
          <w:sz w:val="17"/>
        </w:rPr>
        <w:t>用户问题或告警事实</w:t>
        <w:br/>
      </w:r>
      <w:r>
        <w:rPr>
          <w:rFonts w:ascii="Consolas" w:hAnsi="Consolas" w:eastAsia="Consolas"/>
          <w:color w:val="23313D"/>
          <w:sz w:val="17"/>
        </w:rPr>
        <w:t>-&gt; 查询意图与风险分类</w:t>
        <w:br/>
      </w:r>
      <w:r>
        <w:rPr>
          <w:rFonts w:ascii="Consolas" w:hAnsi="Consolas" w:eastAsia="Consolas"/>
          <w:color w:val="23313D"/>
          <w:sz w:val="17"/>
        </w:rPr>
        <w:t>-&gt; 权限和适用范围过滤</w:t>
        <w:br/>
      </w:r>
      <w:r>
        <w:rPr>
          <w:rFonts w:ascii="Consolas" w:hAnsi="Consolas" w:eastAsia="Consolas"/>
          <w:color w:val="23313D"/>
          <w:sz w:val="17"/>
        </w:rPr>
        <w:t>-&gt; BM25 关键词召回</w:t>
        <w:br/>
      </w:r>
      <w:r>
        <w:rPr>
          <w:rFonts w:ascii="Consolas" w:hAnsi="Consolas" w:eastAsia="Consolas"/>
          <w:color w:val="23313D"/>
          <w:sz w:val="17"/>
        </w:rPr>
        <w:t>-&gt; 向量语义召回</w:t>
        <w:br/>
      </w:r>
      <w:r>
        <w:rPr>
          <w:rFonts w:ascii="Consolas" w:hAnsi="Consolas" w:eastAsia="Consolas"/>
          <w:color w:val="23313D"/>
          <w:sz w:val="17"/>
        </w:rPr>
        <w:t>-&gt; 合并去重</w:t>
        <w:br/>
      </w:r>
      <w:r>
        <w:rPr>
          <w:rFonts w:ascii="Consolas" w:hAnsi="Consolas" w:eastAsia="Consolas"/>
          <w:color w:val="23313D"/>
          <w:sz w:val="17"/>
        </w:rPr>
        <w:t>-&gt; Reranker 重排</w:t>
        <w:br/>
      </w:r>
      <w:r>
        <w:rPr>
          <w:rFonts w:ascii="Consolas" w:hAnsi="Consolas" w:eastAsia="Consolas"/>
          <w:color w:val="23313D"/>
          <w:sz w:val="17"/>
        </w:rPr>
        <w:t>-&gt; 选择前五条证据</w:t>
        <w:br/>
      </w:r>
      <w:r>
        <w:rPr>
          <w:rFonts w:ascii="Consolas" w:hAnsi="Consolas" w:eastAsia="Consolas"/>
          <w:color w:val="23313D"/>
          <w:sz w:val="17"/>
        </w:rPr>
        <w:t>-&gt; 生成结构化回答</w:t>
        <w:br/>
      </w:r>
      <w:r>
        <w:rPr>
          <w:rFonts w:ascii="Consolas" w:hAnsi="Consolas" w:eastAsia="Consolas"/>
          <w:color w:val="23313D"/>
          <w:sz w:val="17"/>
        </w:rPr>
        <w:t>-&gt; 引用覆盖校验</w:t>
        <w:br/>
      </w:r>
      <w:r>
        <w:rPr>
          <w:rFonts w:ascii="Consolas" w:hAnsi="Consolas" w:eastAsia="Consolas"/>
          <w:color w:val="23313D"/>
          <w:sz w:val="17"/>
        </w:rPr>
        <w:t>-&gt; 返回答案或拒答</w:t>
      </w:r>
    </w:p>
    <w:p>
      <w:pPr>
        <w:pStyle w:val="Heading2"/>
      </w:pPr>
      <w:r>
        <w:t>13.3 证据控制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每条结论必须关联 chunkId 和原文位置。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高风险答案必须至少有一条当前有效规程证据。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证据冲突时返回冲突说明，不由模型自行选择法规版本。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未检索到可靠证据时输出 NEED_HUMAN，不允许编造条款。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文档中的指令文本视为不可信数据，不能覆盖系统策略或工具权限。</w:t>
      </w:r>
    </w:p>
    <w:p>
      <w:pPr>
        <w:pStyle w:val="Heading2"/>
      </w:pPr>
      <w:r>
        <w:t>13.4 RAG 评测</w:t>
      </w:r>
    </w:p>
    <w:p>
      <w:pPr>
        <w:keepLines w:val="0"/>
      </w:pPr>
      <w:r>
        <w:rPr>
          <w:rFonts w:ascii="Microsoft YaHei" w:hAnsi="Microsoft YaHei" w:eastAsia="Microsoft YaHei"/>
        </w:rPr>
        <w:t>建立至少五十道固定测试题，覆盖直接事实、跨条款综合、版本冲突、无答案、权限隔离和恶意提示注入。记录 Recall at 5、MRR、引用精确率、引用覆盖率、答案忠实度和正确拒答率。</w:t>
      </w:r>
    </w:p>
    <w:p>
      <w:pPr>
        <w:pStyle w:val="Heading1"/>
      </w:pPr>
      <w:r>
        <w:t>14 Agent 设计</w:t>
      </w:r>
    </w:p>
    <w:p>
      <w:pPr>
        <w:pStyle w:val="Heading2"/>
      </w:pPr>
      <w:r>
        <w:t>14.1 Agent 输入</w:t>
      </w:r>
    </w:p>
    <w:p>
      <w:pPr>
        <w:keepLines w:val="0"/>
      </w:pPr>
      <w:r>
        <w:rPr>
          <w:rFonts w:ascii="Microsoft YaHei" w:hAnsi="Microsoft YaHei" w:eastAsia="Microsoft YaHei"/>
        </w:rPr>
        <w:t>Agent 只接收已形成的 Alert，不接收连续原始视频。输入由 alert facts、evidence summary、device context、applicable rules、retrieved clauses 和 operator request 组成。</w:t>
      </w:r>
    </w:p>
    <w:p>
      <w:pPr>
        <w:pStyle w:val="Heading2"/>
      </w:pPr>
      <w:r>
        <w:t>14.2 Agent 输出</w:t>
      </w:r>
    </w:p>
    <w:p>
      <w:pPr>
        <w:spacing w:before="100" w:after="160" w:line="240" w:lineRule="auto"/>
        <w:ind w:left="259" w:right="259"/>
        <w:shd w:fill="F3F5F7"/>
      </w:pPr>
      <w:r>
        <w:rPr>
          <w:rFonts w:ascii="Consolas" w:hAnsi="Consolas" w:eastAsia="Consolas"/>
          <w:color w:val="23313D"/>
          <w:sz w:val="17"/>
        </w:rPr>
        <w:t>{</w:t>
        <w:br/>
      </w:r>
      <w:r>
        <w:rPr>
          <w:rFonts w:ascii="Consolas" w:hAnsi="Consolas" w:eastAsia="Consolas"/>
          <w:color w:val="23313D"/>
          <w:sz w:val="17"/>
        </w:rPr>
        <w:t xml:space="preserve">  "riskLevel": "HIGH",</w:t>
        <w:br/>
      </w:r>
      <w:r>
        <w:rPr>
          <w:rFonts w:ascii="Consolas" w:hAnsi="Consolas" w:eastAsia="Consolas"/>
          <w:color w:val="23313D"/>
          <w:sz w:val="17"/>
        </w:rPr>
        <w:t xml:space="preserve">  "violationType": "SMOKING",</w:t>
        <w:br/>
      </w:r>
      <w:r>
        <w:rPr>
          <w:rFonts w:ascii="Consolas" w:hAnsi="Consolas" w:eastAsia="Consolas"/>
          <w:color w:val="23313D"/>
          <w:sz w:val="17"/>
        </w:rPr>
        <w:t xml:space="preserve">  "assessment": "检测到人员在作业区域持续吸烟",</w:t>
        <w:br/>
      </w:r>
      <w:r>
        <w:rPr>
          <w:rFonts w:ascii="Consolas" w:hAnsi="Consolas" w:eastAsia="Consolas"/>
          <w:color w:val="23313D"/>
          <w:sz w:val="17"/>
        </w:rPr>
        <w:t xml:space="preserve">  "evidenceIds": ["EVIDENCE-101", "EVIDENCE-102"],</w:t>
        <w:br/>
      </w:r>
      <w:r>
        <w:rPr>
          <w:rFonts w:ascii="Consolas" w:hAnsi="Consolas" w:eastAsia="Consolas"/>
          <w:color w:val="23313D"/>
          <w:sz w:val="17"/>
        </w:rPr>
        <w:t xml:space="preserve">  "citations": [</w:t>
        <w:br/>
      </w:r>
      <w:r>
        <w:rPr>
          <w:rFonts w:ascii="Consolas" w:hAnsi="Consolas" w:eastAsia="Consolas"/>
          <w:color w:val="23313D"/>
          <w:sz w:val="17"/>
        </w:rPr>
        <w:t xml:space="preserve">    {"chunkId": "CHUNK-88", "clauseNo": "第某条", "pageNo": 12}</w:t>
        <w:br/>
      </w:r>
      <w:r>
        <w:rPr>
          <w:rFonts w:ascii="Consolas" w:hAnsi="Consolas" w:eastAsia="Consolas"/>
          <w:color w:val="23313D"/>
          <w:sz w:val="17"/>
        </w:rPr>
        <w:t xml:space="preserve">  ],</w:t>
        <w:br/>
      </w:r>
      <w:r>
        <w:rPr>
          <w:rFonts w:ascii="Consolas" w:hAnsi="Consolas" w:eastAsia="Consolas"/>
          <w:color w:val="23313D"/>
          <w:sz w:val="17"/>
        </w:rPr>
        <w:t xml:space="preserve">  "recommendedActions": ["通知现场安全员", "形成处置工单"],</w:t>
        <w:br/>
      </w:r>
      <w:r>
        <w:rPr>
          <w:rFonts w:ascii="Consolas" w:hAnsi="Consolas" w:eastAsia="Consolas"/>
          <w:color w:val="23313D"/>
          <w:sz w:val="17"/>
        </w:rPr>
        <w:t xml:space="preserve">  "missingInformation": [],</w:t>
        <w:br/>
      </w:r>
      <w:r>
        <w:rPr>
          <w:rFonts w:ascii="Consolas" w:hAnsi="Consolas" w:eastAsia="Consolas"/>
          <w:color w:val="23313D"/>
          <w:sz w:val="17"/>
        </w:rPr>
        <w:t xml:space="preserve">  "requiresHumanApproval": true,</w:t>
        <w:br/>
      </w:r>
      <w:r>
        <w:rPr>
          <w:rFonts w:ascii="Consolas" w:hAnsi="Consolas" w:eastAsia="Consolas"/>
          <w:color w:val="23313D"/>
          <w:sz w:val="17"/>
        </w:rPr>
        <w:t xml:space="preserve">  "confidence": 0.86</w:t>
        <w:br/>
      </w:r>
      <w:r>
        <w:rPr>
          <w:rFonts w:ascii="Consolas" w:hAnsi="Consolas" w:eastAsia="Consolas"/>
          <w:color w:val="23313D"/>
          <w:sz w:val="17"/>
        </w:rPr>
        <w:t>}</w:t>
      </w:r>
    </w:p>
    <w:p>
      <w:pPr>
        <w:pStyle w:val="Heading2"/>
      </w:pPr>
      <w:r>
        <w:t>14.3 工具目录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工具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是否自动执行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querySafetyKnowledge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只读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只能访问已发布文档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getAlertEvidence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只读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校验项目和区域权限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getDeviceStatus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只读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隐藏 RTSP 密钥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queryWorkOrder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只读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数据范围隔离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createWorkOrderDraft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写草稿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只创建草稿，不派发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requestHumanApproval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控制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创建待审批动作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dispatchWorkOrder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高风险写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必须人工批准和幂等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upgradeAlert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高风险写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24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必须人工批准和角色校验</w:t>
            </w:r>
          </w:p>
        </w:tc>
      </w:tr>
    </w:tbl>
    <w:p>
      <w:pPr>
        <w:spacing w:after="40"/>
      </w:pPr>
    </w:p>
    <w:p>
      <w:pPr>
        <w:pStyle w:val="Heading2"/>
      </w:pPr>
      <w:r>
        <w:t>14.4 两阶段执行</w:t>
      </w:r>
    </w:p>
    <w:p>
      <w:pPr>
        <w:keepLines w:val="0"/>
      </w:pPr>
      <w:r>
        <w:rPr>
          <w:rFonts w:ascii="Microsoft YaHei" w:hAnsi="Microsoft YaHei" w:eastAsia="Microsoft YaHei"/>
        </w:rPr>
        <w:t>第一阶段由模型生成 ActionPlan，策略层完成 Schema 校验、证据检查、工具白名单、权限、风险等级和参数范围检查。第二阶段由 ActionExecutor 执行已批准动作。高风险动作先形成 PendingAction，审批通过后才调用领域服务。</w:t>
      </w:r>
    </w:p>
    <w:p>
      <w:pPr>
        <w:pStyle w:val="Heading2"/>
      </w:pPr>
      <w:r>
        <w:t>14.5 Agent 运行限制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单次最多八个步骤。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单次最多五次工具调用。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设置总超时、单工具超时和 Token 上限。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禁止递归调用同一写工具。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工具调用使用 idempotencyKey。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模型输出必须通过 JSON Schema 校验。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连续格式失败时终止并转人工。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大模型不可用时保留普通告警和人工处置能力。</w:t>
      </w:r>
    </w:p>
    <w:p>
      <w:pPr>
        <w:pStyle w:val="Heading1"/>
      </w:pPr>
      <w:r>
        <w:t>15 权限与安全设计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权限摘要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ADMIN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用户、角色、设备、系统配置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OPERATOR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查看监控、确认告警、填写备注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SAFETY_OFFICER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研判告警、审批 Agent 动作、创建和关闭工单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SUPERVISOR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告警升级、复核工单、统计分析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MODEL_MANAGER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模型登记、灰度发布、反馈样本管理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AUDITOR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只读查看事件、Agent 步骤和审计记录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Microsoft YaHei" w:hAnsi="Microsoft YaHei" w:eastAsia="Microsoft YaHei"/>
        </w:rPr>
        <w:t>安全措施包括 JWT 短期访问令牌、刷新令牌轮换、BCrypt 或 Argon2 密码哈希、接口限流、参数校验、对象级权限、密钥外置、敏感日志脱敏和文件类型校验。</w:t>
      </w:r>
    </w:p>
    <w:p>
      <w:pPr>
        <w:keepLines w:val="0"/>
      </w:pPr>
      <w:r>
        <w:rPr>
          <w:rFonts w:ascii="Microsoft YaHei" w:hAnsi="Microsoft YaHei" w:eastAsia="Microsoft YaHei"/>
        </w:rPr>
        <w:t>Prompt、知识文档和用户输入均按不可信数据处理。Agent 的系统策略、允许工具和审批规则由服务端固定，不能被文档内容或用户消息覆盖。</w:t>
      </w:r>
    </w:p>
    <w:p>
      <w:pPr>
        <w:pStyle w:val="Heading1"/>
      </w:pPr>
      <w:r>
        <w:t>16 可靠消息与一致性</w:t>
      </w:r>
    </w:p>
    <w:p>
      <w:pPr>
        <w:pStyle w:val="Heading2"/>
      </w:pPr>
      <w:r>
        <w:t>16.1 入站幂等</w:t>
      </w:r>
    </w:p>
    <w:p>
      <w:pPr>
        <w:keepLines w:val="0"/>
      </w:pPr>
      <w:r>
        <w:rPr>
          <w:rFonts w:ascii="Microsoft YaHei" w:hAnsi="Microsoft YaHei" w:eastAsia="Microsoft YaHei"/>
        </w:rPr>
        <w:t>Kafka 消费者在业务事务内插入 eventId 唯一记录。若唯一键冲突则认为消息已经处理，不重复生成告警。</w:t>
      </w:r>
    </w:p>
    <w:p>
      <w:pPr>
        <w:pStyle w:val="Heading2"/>
      </w:pPr>
      <w:r>
        <w:t>16.2 Transactional Outbox</w:t>
      </w:r>
    </w:p>
    <w:p>
      <w:pPr>
        <w:keepLines w:val="0"/>
      </w:pPr>
      <w:r>
        <w:rPr>
          <w:rFonts w:ascii="Microsoft YaHei" w:hAnsi="Microsoft YaHei" w:eastAsia="Microsoft YaHei"/>
        </w:rPr>
        <w:t>创建告警、工单或反馈时，在同一 MySQL 事务写业务表和 outbox_events。后台发布器批量锁定待发送事件，发布到 Kafka 后更新状态；失败时指数退避，超过次数进入人工处理队列。</w:t>
      </w:r>
    </w:p>
    <w:p>
      <w:pPr>
        <w:pStyle w:val="Heading2"/>
      </w:pPr>
      <w:r>
        <w:t>16.3 顺序和乱序</w:t>
      </w:r>
    </w:p>
    <w:p>
      <w:pPr>
        <w:keepLines w:val="0"/>
      </w:pPr>
      <w:r>
        <w:rPr>
          <w:rFonts w:ascii="Microsoft YaHei" w:hAnsi="Microsoft YaHei" w:eastAsia="Microsoft YaHei"/>
        </w:rPr>
        <w:t>检测 Topic 使用 cameraId 作为分区键，保证单摄像头内基本有序。消费者仍以 capturedAt 处理有限乱序，超过允许延迟的事件记录为 LATE，不回写已经关闭的窗口。</w:t>
      </w:r>
    </w:p>
    <w:p>
      <w:pPr>
        <w:pStyle w:val="Heading2"/>
      </w:pPr>
      <w:r>
        <w:t>16.4 降级策略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故障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降级行为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LLM 不可用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保留规则告警，Agent 状态转 WAITING_RETRY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Elasticsearch 不可用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禁止高风险自动建议，转人工查规程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Redis 不可用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暂存事件或使用数据库低吞吐窗口计算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Kafka 短时不可用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推理端有限磁盘缓冲，恢复后重发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MinIO 不可用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保留事件元数据，证据状态标记缺失并告警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17 API 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方法与路径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POST /api/v1/auth/login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登录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GET /api/v1/devices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查询设备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POST /api/v1/devices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创建设备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POST /api/v1/cameras/{id}/test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测试视频源连通性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GET /api/v1/alerts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分页查询告警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GET /api/v1/alerts/{id}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查询告警证据和状态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POST /api/v1/alerts/{id}/confirm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确认告警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POST /api/v1/alerts/{id}/false-positive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标记误报并生成反馈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POST /api/v1/alerts/{id}/agent-runs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发起 Agent 研判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GET /api/v1/agent-runs/{id}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查询 Agent 步骤与证据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POST /api/v1/pending-actions/{id}/approve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批准待执行动作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POST /api/v1/pending-actions/{id}/reject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拒绝待执行动作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POST /api/v1/work-orders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创建工单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POST /api/v1/work-orders/{id}/actions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执行工单状态操作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POST /api/v1/knowledge/documents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上传规程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POST /api/v1/knowledge/search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检索规程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GET /api/v1/audit-logs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查询审计日志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GET /api/v1/events/stream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SSE 实时告警和工单推送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Microsoft YaHei" w:hAnsi="Microsoft YaHei" w:eastAsia="Microsoft YaHei"/>
        </w:rPr>
        <w:t>所有写接口支持 Idempotency-Key。错误响应统一包含 code、message、traceId、details 和 timestamp。</w:t>
      </w:r>
    </w:p>
    <w:p>
      <w:pPr>
        <w:pStyle w:val="Heading1"/>
      </w:pPr>
      <w:r>
        <w:t>18 前端信息架构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关键内容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登录页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登录、环境标识、服务状态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总览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设备在线率、今日告警、处理中工单、模型版本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实时监控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视频、同帧检测框、事件延迟、通道状态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告警中心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筛选、证据时间线、规则命中、Agent 研判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Agent 工作台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检索证据、推理摘要、工具步骤、待审批动作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工单中心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状态看板、负责人、时限、附件和处理记录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知识库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文档版本、条款、索引状态和测试查询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模型中心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当前版本、测试指标、灰度状态和回滚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反馈闭环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误报漏报、困难样本、补标任务和数据集版本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系统管理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用户、角色、规则、设备和审计日志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Microsoft YaHei" w:hAnsi="Microsoft YaHei" w:eastAsia="Microsoft YaHei"/>
        </w:rPr>
        <w:t>前端展示 Agent 结论时必须同时展示证据来源和工具执行结果，不能只展示自然语言答案。</w:t>
      </w:r>
    </w:p>
    <w:p>
      <w:pPr>
        <w:pStyle w:val="Heading1"/>
      </w:pPr>
      <w:r>
        <w:t>19 可观测性</w:t>
      </w:r>
    </w:p>
    <w:p>
      <w:pPr>
        <w:keepLines w:val="0"/>
      </w:pPr>
      <w:r>
        <w:rPr>
          <w:rFonts w:ascii="Microsoft YaHei" w:hAnsi="Microsoft YaHei" w:eastAsia="Microsoft YaHei"/>
        </w:rPr>
        <w:t>统一链路标识为 frameId、eventId、alertId、agentRunId 和 workOrderId。OpenTelemetry Trace 应覆盖推理事件发布、Kafka 消费、规则计算、RAG 检索、模型调用、工具调用和工单写入。</w:t>
      </w:r>
    </w:p>
    <w:p>
      <w:pPr>
        <w:keepLines w:val="0"/>
      </w:pPr>
      <w:r>
        <w:rPr>
          <w:rFonts w:ascii="Microsoft YaHei" w:hAnsi="Microsoft YaHei" w:eastAsia="Microsoft YaHei"/>
        </w:rPr>
        <w:t>重点指标包括 detection_event_total、detection_lag_ms、rule_evaluation_ms、alert_created_total、duplicate_event_total、agent_run_duration_ms、agent_tool_call_total、rag_retrieval_duration_ms、work_order_completion_time 和 outbox_pending_total。</w:t>
      </w:r>
    </w:p>
    <w:p>
      <w:pPr>
        <w:keepLines w:val="0"/>
      </w:pPr>
      <w:r>
        <w:rPr>
          <w:rFonts w:ascii="Microsoft YaHei" w:hAnsi="Microsoft YaHei" w:eastAsia="Microsoft YaHei"/>
        </w:rPr>
        <w:t>日志使用结构化 JSON，禁止打印 RTSP 密码、大模型密钥、完整 JWT 和未经脱敏的个人信息。</w:t>
      </w:r>
    </w:p>
    <w:p>
      <w:pPr>
        <w:pStyle w:val="Heading1"/>
        <w:pageBreakBefore/>
      </w:pPr>
      <w:r>
        <w:t>20 测试设计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测试重点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推荐工具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单元测试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规则、状态机、权限、策略门控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JUnit 5 AssertJ Mockito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模块测试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Spring Modulith 边界和领域事件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Spring Modulith Test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集成测试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MySQL Redis Kafka Elasticsearch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Testcontainers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契约测试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Kafka Schema 和 REST 请求响应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JSON Schema OpenAPI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端到端测试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视频到告警到工单完整链路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Playwright 固定录像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AI 评测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检索、引用、拒答、工具选择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固定 Eval 数据集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性能测试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二十路模拟流、事件突发和查询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k6 JMeter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故障测试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重复消息、乱序、服务重启、依赖超时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故障注入脚本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Microsoft YaHei" w:hAnsi="Microsoft YaHei" w:eastAsia="Microsoft YaHei"/>
        </w:rPr>
        <w:t>必须覆盖以下关键用例：相同 eventId 重放不生成重复告警；窗口边界计算正确；非法状态迁移被拒绝；旧 version 更新失败；Agent 无证据时拒答；未审批的高风险工具无法执行；服务重启后 Outbox 继续发送；同一视频帧的框与 frameId 一致。</w:t>
      </w:r>
    </w:p>
    <w:p>
      <w:pPr>
        <w:pStyle w:val="Heading1"/>
      </w:pPr>
      <w:r>
        <w:t>21 设计目标与验收指标</w:t>
      </w:r>
    </w:p>
    <w:p>
      <w:pPr>
        <w:keepLines w:val="0"/>
      </w:pPr>
      <w:r>
        <w:rPr>
          <w:rFonts w:ascii="Microsoft YaHei" w:hAnsi="Microsoft YaHei" w:eastAsia="Microsoft YaHei"/>
        </w:rPr>
        <w:t>以下均为待验证目标，不是当前已取得的性能声明。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第一版目标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功能闭环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固定视频能够完成检测、三次命中、告警、RAG、审批、工单和反馈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幂等性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同一检测事件重复投递十次只产生一个业务结果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状态安全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自动测试中非法状态迁移成功次数为零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Agent 安全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未批准高风险动作实际执行次数为零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RAG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Recall at 5 不低于 85%，引用精确率不低于 95%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稳定性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二十路录像模拟连续运行两小时，无无限队列和内存持续增长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事件延迟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不含模型推理的告警处理 P95 小于 500 毫秒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可恢复性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Java 服务重启后未完成 Outbox 和 Agent 任务可恢复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可观测性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任一工单可以追溯到原始检测事件、模型和规程证据</w:t>
            </w:r>
          </w:p>
        </w:tc>
      </w:tr>
    </w:tbl>
    <w:p>
      <w:pPr>
        <w:spacing w:after="40"/>
      </w:pPr>
    </w:p>
    <w:p>
      <w:pPr>
        <w:pStyle w:val="Heading1"/>
      </w:pPr>
      <w:r>
        <w:t>22 仓库结构</w:t>
      </w:r>
    </w:p>
    <w:p>
      <w:pPr>
        <w:spacing w:before="100" w:after="160" w:line="240" w:lineRule="auto"/>
        <w:ind w:left="259" w:right="259"/>
        <w:shd w:fill="F3F5F7"/>
      </w:pPr>
      <w:r>
        <w:rPr>
          <w:rFonts w:ascii="Consolas" w:hAnsi="Consolas" w:eastAsia="Consolas"/>
          <w:color w:val="23313D"/>
          <w:sz w:val="17"/>
        </w:rPr>
        <w:t>mine-safety-agent-platform</w:t>
        <w:br/>
      </w:r>
      <w:r>
        <w:rPr>
          <w:rFonts w:ascii="Consolas" w:hAnsi="Consolas" w:eastAsia="Consolas"/>
          <w:color w:val="23313D"/>
          <w:sz w:val="17"/>
        </w:rPr>
        <w:t xml:space="preserve">  backend</w:t>
        <w:br/>
      </w:r>
      <w:r>
        <w:rPr>
          <w:rFonts w:ascii="Consolas" w:hAnsi="Consolas" w:eastAsia="Consolas"/>
          <w:color w:val="23313D"/>
          <w:sz w:val="17"/>
        </w:rPr>
        <w:t xml:space="preserve">    src main java com jiapeng mineguard</w:t>
        <w:br/>
      </w:r>
      <w:r>
        <w:rPr>
          <w:rFonts w:ascii="Consolas" w:hAnsi="Consolas" w:eastAsia="Consolas"/>
          <w:color w:val="23313D"/>
          <w:sz w:val="17"/>
        </w:rPr>
        <w:t xml:space="preserve">      identity</w:t>
        <w:br/>
      </w:r>
      <w:r>
        <w:rPr>
          <w:rFonts w:ascii="Consolas" w:hAnsi="Consolas" w:eastAsia="Consolas"/>
          <w:color w:val="23313D"/>
          <w:sz w:val="17"/>
        </w:rPr>
        <w:t xml:space="preserve">      device</w:t>
        <w:br/>
      </w:r>
      <w:r>
        <w:rPr>
          <w:rFonts w:ascii="Consolas" w:hAnsi="Consolas" w:eastAsia="Consolas"/>
          <w:color w:val="23313D"/>
          <w:sz w:val="17"/>
        </w:rPr>
        <w:t xml:space="preserve">      model</w:t>
        <w:br/>
      </w:r>
      <w:r>
        <w:rPr>
          <w:rFonts w:ascii="Consolas" w:hAnsi="Consolas" w:eastAsia="Consolas"/>
          <w:color w:val="23313D"/>
          <w:sz w:val="17"/>
        </w:rPr>
        <w:t xml:space="preserve">      detection</w:t>
        <w:br/>
      </w:r>
      <w:r>
        <w:rPr>
          <w:rFonts w:ascii="Consolas" w:hAnsi="Consolas" w:eastAsia="Consolas"/>
          <w:color w:val="23313D"/>
          <w:sz w:val="17"/>
        </w:rPr>
        <w:t xml:space="preserve">      rule</w:t>
        <w:br/>
      </w:r>
      <w:r>
        <w:rPr>
          <w:rFonts w:ascii="Consolas" w:hAnsi="Consolas" w:eastAsia="Consolas"/>
          <w:color w:val="23313D"/>
          <w:sz w:val="17"/>
        </w:rPr>
        <w:t xml:space="preserve">      alert</w:t>
        <w:br/>
      </w:r>
      <w:r>
        <w:rPr>
          <w:rFonts w:ascii="Consolas" w:hAnsi="Consolas" w:eastAsia="Consolas"/>
          <w:color w:val="23313D"/>
          <w:sz w:val="17"/>
        </w:rPr>
        <w:t xml:space="preserve">      workorder</w:t>
        <w:br/>
      </w:r>
      <w:r>
        <w:rPr>
          <w:rFonts w:ascii="Consolas" w:hAnsi="Consolas" w:eastAsia="Consolas"/>
          <w:color w:val="23313D"/>
          <w:sz w:val="17"/>
        </w:rPr>
        <w:t xml:space="preserve">      knowledge</w:t>
        <w:br/>
      </w:r>
      <w:r>
        <w:rPr>
          <w:rFonts w:ascii="Consolas" w:hAnsi="Consolas" w:eastAsia="Consolas"/>
          <w:color w:val="23313D"/>
          <w:sz w:val="17"/>
        </w:rPr>
        <w:t xml:space="preserve">      agent</w:t>
        <w:br/>
      </w:r>
      <w:r>
        <w:rPr>
          <w:rFonts w:ascii="Consolas" w:hAnsi="Consolas" w:eastAsia="Consolas"/>
          <w:color w:val="23313D"/>
          <w:sz w:val="17"/>
        </w:rPr>
        <w:t xml:space="preserve">      feedback</w:t>
        <w:br/>
      </w:r>
      <w:r>
        <w:rPr>
          <w:rFonts w:ascii="Consolas" w:hAnsi="Consolas" w:eastAsia="Consolas"/>
          <w:color w:val="23313D"/>
          <w:sz w:val="17"/>
        </w:rPr>
        <w:t xml:space="preserve">      audit</w:t>
        <w:br/>
      </w:r>
      <w:r>
        <w:rPr>
          <w:rFonts w:ascii="Consolas" w:hAnsi="Consolas" w:eastAsia="Consolas"/>
          <w:color w:val="23313D"/>
          <w:sz w:val="17"/>
        </w:rPr>
        <w:t xml:space="preserve">    src test</w:t>
        <w:br/>
      </w:r>
      <w:r>
        <w:rPr>
          <w:rFonts w:ascii="Consolas" w:hAnsi="Consolas" w:eastAsia="Consolas"/>
          <w:color w:val="23313D"/>
          <w:sz w:val="17"/>
        </w:rPr>
        <w:t xml:space="preserve">  inference-service</w:t>
        <w:br/>
      </w:r>
      <w:r>
        <w:rPr>
          <w:rFonts w:ascii="Consolas" w:hAnsi="Consolas" w:eastAsia="Consolas"/>
          <w:color w:val="23313D"/>
          <w:sz w:val="17"/>
        </w:rPr>
        <w:t xml:space="preserve">    app</w:t>
        <w:br/>
      </w:r>
      <w:r>
        <w:rPr>
          <w:rFonts w:ascii="Consolas" w:hAnsi="Consolas" w:eastAsia="Consolas"/>
          <w:color w:val="23313D"/>
          <w:sz w:val="17"/>
        </w:rPr>
        <w:t xml:space="preserve">    tests</w:t>
        <w:br/>
      </w:r>
      <w:r>
        <w:rPr>
          <w:rFonts w:ascii="Consolas" w:hAnsi="Consolas" w:eastAsia="Consolas"/>
          <w:color w:val="23313D"/>
          <w:sz w:val="17"/>
        </w:rPr>
        <w:t xml:space="preserve">    models</w:t>
        <w:br/>
      </w:r>
      <w:r>
        <w:rPr>
          <w:rFonts w:ascii="Consolas" w:hAnsi="Consolas" w:eastAsia="Consolas"/>
          <w:color w:val="23313D"/>
          <w:sz w:val="17"/>
        </w:rPr>
        <w:t xml:space="preserve">  frontend</w:t>
        <w:br/>
      </w:r>
      <w:r>
        <w:rPr>
          <w:rFonts w:ascii="Consolas" w:hAnsi="Consolas" w:eastAsia="Consolas"/>
          <w:color w:val="23313D"/>
          <w:sz w:val="17"/>
        </w:rPr>
        <w:t xml:space="preserve">    src</w:t>
        <w:br/>
      </w:r>
      <w:r>
        <w:rPr>
          <w:rFonts w:ascii="Consolas" w:hAnsi="Consolas" w:eastAsia="Consolas"/>
          <w:color w:val="23313D"/>
          <w:sz w:val="17"/>
        </w:rPr>
        <w:t xml:space="preserve">  deploy</w:t>
        <w:br/>
      </w:r>
      <w:r>
        <w:rPr>
          <w:rFonts w:ascii="Consolas" w:hAnsi="Consolas" w:eastAsia="Consolas"/>
          <w:color w:val="23313D"/>
          <w:sz w:val="17"/>
        </w:rPr>
        <w:t xml:space="preserve">    docker-compose.yml</w:t>
        <w:br/>
      </w:r>
      <w:r>
        <w:rPr>
          <w:rFonts w:ascii="Consolas" w:hAnsi="Consolas" w:eastAsia="Consolas"/>
          <w:color w:val="23313D"/>
          <w:sz w:val="17"/>
        </w:rPr>
        <w:t xml:space="preserve">    prometheus</w:t>
        <w:br/>
      </w:r>
      <w:r>
        <w:rPr>
          <w:rFonts w:ascii="Consolas" w:hAnsi="Consolas" w:eastAsia="Consolas"/>
          <w:color w:val="23313D"/>
          <w:sz w:val="17"/>
        </w:rPr>
        <w:t xml:space="preserve">    grafana</w:t>
        <w:br/>
      </w:r>
      <w:r>
        <w:rPr>
          <w:rFonts w:ascii="Consolas" w:hAnsi="Consolas" w:eastAsia="Consolas"/>
          <w:color w:val="23313D"/>
          <w:sz w:val="17"/>
        </w:rPr>
        <w:t xml:space="preserve">  docs</w:t>
        <w:br/>
      </w:r>
      <w:r>
        <w:rPr>
          <w:rFonts w:ascii="Consolas" w:hAnsi="Consolas" w:eastAsia="Consolas"/>
          <w:color w:val="23313D"/>
          <w:sz w:val="17"/>
        </w:rPr>
        <w:t xml:space="preserve">    architecture</w:t>
        <w:br/>
      </w:r>
      <w:r>
        <w:rPr>
          <w:rFonts w:ascii="Consolas" w:hAnsi="Consolas" w:eastAsia="Consolas"/>
          <w:color w:val="23313D"/>
          <w:sz w:val="17"/>
        </w:rPr>
        <w:t xml:space="preserve">    api</w:t>
        <w:br/>
      </w:r>
      <w:r>
        <w:rPr>
          <w:rFonts w:ascii="Consolas" w:hAnsi="Consolas" w:eastAsia="Consolas"/>
          <w:color w:val="23313D"/>
          <w:sz w:val="17"/>
        </w:rPr>
        <w:t xml:space="preserve">    runbooks</w:t>
        <w:br/>
      </w:r>
      <w:r>
        <w:rPr>
          <w:rFonts w:ascii="Consolas" w:hAnsi="Consolas" w:eastAsia="Consolas"/>
          <w:color w:val="23313D"/>
          <w:sz w:val="17"/>
        </w:rPr>
        <w:t xml:space="preserve">  evals</w:t>
        <w:br/>
      </w:r>
      <w:r>
        <w:rPr>
          <w:rFonts w:ascii="Consolas" w:hAnsi="Consolas" w:eastAsia="Consolas"/>
          <w:color w:val="23313D"/>
          <w:sz w:val="17"/>
        </w:rPr>
        <w:t xml:space="preserve">    rag</w:t>
        <w:br/>
      </w:r>
      <w:r>
        <w:rPr>
          <w:rFonts w:ascii="Consolas" w:hAnsi="Consolas" w:eastAsia="Consolas"/>
          <w:color w:val="23313D"/>
          <w:sz w:val="17"/>
        </w:rPr>
        <w:t xml:space="preserve">    agent</w:t>
        <w:br/>
      </w:r>
      <w:r>
        <w:rPr>
          <w:rFonts w:ascii="Consolas" w:hAnsi="Consolas" w:eastAsia="Consolas"/>
          <w:color w:val="23313D"/>
          <w:sz w:val="17"/>
        </w:rPr>
        <w:t xml:space="preserve">    video</w:t>
        <w:br/>
      </w:r>
      <w:r>
        <w:rPr>
          <w:rFonts w:ascii="Consolas" w:hAnsi="Consolas" w:eastAsia="Consolas"/>
          <w:color w:val="23313D"/>
          <w:sz w:val="17"/>
        </w:rPr>
        <w:t xml:space="preserve">  scripts</w:t>
        <w:br/>
      </w:r>
      <w:r>
        <w:rPr>
          <w:rFonts w:ascii="Consolas" w:hAnsi="Consolas" w:eastAsia="Consolas"/>
          <w:color w:val="23313D"/>
          <w:sz w:val="17"/>
        </w:rPr>
        <w:t xml:space="preserve">  README.md</w:t>
      </w:r>
    </w:p>
    <w:p>
      <w:pPr>
        <w:keepLines w:val="0"/>
      </w:pPr>
      <w:r>
        <w:rPr>
          <w:rFonts w:ascii="Microsoft YaHei" w:hAnsi="Microsoft YaHei" w:eastAsia="Microsoft YaHei"/>
        </w:rPr>
        <w:t>现有 yolo-label-recovery 保持独立仓库。新平台通过反馈导出协议调用它，不复制其完整源代码。</w:t>
      </w:r>
    </w:p>
    <w:p>
      <w:pPr>
        <w:pStyle w:val="Heading1"/>
      </w:pPr>
      <w:r>
        <w:t>23 配置与环境</w:t>
      </w:r>
    </w:p>
    <w:p>
      <w:pPr>
        <w:keepLines w:val="0"/>
      </w:pPr>
      <w:r>
        <w:rPr>
          <w:rFonts w:ascii="Microsoft YaHei" w:hAnsi="Microsoft YaHei" w:eastAsia="Microsoft YaHei"/>
        </w:rPr>
        <w:t>使用 local、test、demo 三套配置。生产密钥不写入 Git，开发环境通过 env 文件注入。Docker Compose 至少启动 MySQL、Redis、Kafka、Elasticsearch、MinIO、Prometheus 和 Grafana。</w:t>
      </w:r>
    </w:p>
    <w:p>
      <w:pPr>
        <w:keepLines w:val="0"/>
      </w:pPr>
      <w:r>
        <w:rPr>
          <w:rFonts w:ascii="Microsoft YaHei" w:hAnsi="Microsoft YaHei" w:eastAsia="Microsoft YaHei"/>
        </w:rPr>
        <w:t>模型权重不直接提交 Git，使用本地模型目录或对象存储，并通过 SHA256 校验。演示仓库提供小型公开样例和固定事件回放，使没有 GPU 的面试环境也能展示完整业务闭环。</w:t>
      </w:r>
    </w:p>
    <w:p>
      <w:pPr>
        <w:pStyle w:val="Heading1"/>
        <w:pageBreakBefore/>
      </w:pPr>
      <w:r>
        <w:t>24 分阶段开发计划</w:t>
      </w:r>
    </w:p>
    <w:p>
      <w:pPr>
        <w:pStyle w:val="Heading2"/>
      </w:pPr>
      <w:r>
        <w:t>阶段一 工程骨架与检测事件闭环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初始化 Spring Boot 模块化单体、Vue3 和 Python 推理服务。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编写 Docker Compose 和本地环境检查脚本。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实现用户权限、设备、摄像头和模型版本模块。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定义 detection event JSON Schema 和 Kafka Topic。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使用固定 JSON 回放代替模型，先跑通事件接收和幂等。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实现 Redis 时间窗规则、Alert、Outbox 和 SSE。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完成三次吸烟命中产生一个告警的自动化测试。</w:t>
      </w:r>
    </w:p>
    <w:p>
      <w:pPr>
        <w:keepLines w:val="0"/>
      </w:pPr>
      <w:r>
        <w:rPr>
          <w:rFonts w:ascii="Microsoft YaHei" w:hAnsi="Microsoft YaHei" w:eastAsia="Microsoft YaHei"/>
        </w:rPr>
        <w:t>阶段验收是无需大模型即可稳定完成检测事件到告警页面的闭环。</w:t>
      </w:r>
    </w:p>
    <w:p>
      <w:pPr>
        <w:pStyle w:val="Heading2"/>
      </w:pPr>
      <w:r>
        <w:t>阶段二 工单与业务可靠性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实现告警和工单状态机。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实现图片证据存储、告警确认、误报和工单流转。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增加悲观锁或乐观锁、Idempotency-Key 和审计日志。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使用 Testcontainers 验证数据库、Redis 和 Kafka。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增加重复消息、服务重启和 Outbox 恢复测试。</w:t>
      </w:r>
    </w:p>
    <w:p>
      <w:pPr>
        <w:pStyle w:val="Heading2"/>
      </w:pPr>
      <w:r>
        <w:t>阶段三 RAG 安全知识库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建立文档、版本、条款和 Chunk 数据模型。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实现解析、切片、Embedding、混合检索和 Reranker。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实现引用校验、无答案拒答和权限过滤。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建立固定问题集并输出评测报告。</w:t>
      </w:r>
    </w:p>
    <w:p>
      <w:pPr>
        <w:pStyle w:val="Heading2"/>
      </w:pPr>
      <w:r>
        <w:t>阶段四 受控 Agent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使用 Spring AI 定义 ChatClient、Advisor 和只读工具。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实现结构化 ActionPlan 和 JSON Schema 校验。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实现 PolicyEngine、PendingAction 和人工审批。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接入创建工单草稿、派发工单和升级告警工具。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保存 AgentStep、ToolInvocation 和完整审计证据。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验证 LLM 故障时普通告警流程仍可使用。</w:t>
      </w:r>
    </w:p>
    <w:p>
      <w:pPr>
        <w:pStyle w:val="Heading2"/>
      </w:pPr>
      <w:r>
        <w:t>阶段五 视频与反馈闭环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接入最新 YOLO26m 权重和固定测试视频。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实现抽帧、背压、同帧画框和 Kafka 发布。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将误报、漏报和低置信度样本导出到补标平台。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将审核结果关联 DatasetVersion 和 ModelVersion。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演示旧模型、新模型和反馈样本的可追溯关系。</w:t>
      </w:r>
    </w:p>
    <w:p>
      <w:pPr>
        <w:pStyle w:val="Heading2"/>
      </w:pPr>
      <w:r>
        <w:t>阶段六 工程化与作品集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完成 Prometheus、Grafana 和 OpenTelemetry。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完成二十路录像模拟和性能报告。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编写一键启动、故障排查和演示脚本。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添加架构图、真实页面截图、测试报告和三分钟演示视频。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在 README 中区分已实现、已测试、设计目标和未来规划。</w:t>
      </w:r>
    </w:p>
    <w:p>
      <w:pPr>
        <w:pStyle w:val="Heading1"/>
      </w:pPr>
      <w:r>
        <w:t>25 第一批开发任务</w:t>
      </w:r>
    </w:p>
    <w:p>
      <w:pPr>
        <w:keepLines w:val="0"/>
      </w:pPr>
      <w:r>
        <w:rPr>
          <w:rFonts w:ascii="Microsoft YaHei" w:hAnsi="Microsoft YaHei" w:eastAsia="Microsoft YaHei"/>
        </w:rPr>
        <w:t>开发开始后先完成以下十二项，不提前进入 RAG 和 Agent。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创建仓库目录和根 README。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初始化 Java 21 Spring Boot 工程。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引入 Spring Modulith 并建立模块验证测试。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创建 MySQL、Redis、Kafka 的 Docker Compose。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创建 Flyway V1 数据库迁移。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定义 DetectionFrameEvent JSON Schema。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编写事件回放生产者。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实现 Kafka 消费者和 eventId 幂等表。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实现 WindowHitCountRule。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实现 Alert 聚合根和状态机。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实现 Transactional Outbox。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编写三次吸烟命中告警的 Testcontainers 集成测试。</w:t>
      </w:r>
    </w:p>
    <w:p>
      <w:pPr>
        <w:keepLines w:val="0"/>
      </w:pPr>
      <w:r>
        <w:rPr>
          <w:rFonts w:ascii="Microsoft YaHei" w:hAnsi="Microsoft YaHei" w:eastAsia="Microsoft YaHei"/>
        </w:rPr>
        <w:t>完成这十二项后再接前端告警页面，可以避免先做页面、后补领域逻辑造成返工。</w:t>
      </w:r>
    </w:p>
    <w:p>
      <w:pPr>
        <w:pStyle w:val="Heading1"/>
      </w:pPr>
      <w:r>
        <w:t>26 面试讲解主线</w:t>
      </w:r>
    </w:p>
    <w:p>
      <w:pPr>
        <w:keepLines w:val="0"/>
      </w:pPr>
      <w:r>
        <w:rPr>
          <w:rFonts w:ascii="Microsoft YaHei" w:hAnsi="Microsoft YaHei" w:eastAsia="Microsoft YaHei"/>
        </w:rPr>
        <w:t>Java 后端方向重点讲模块化领域边界、Kafka 消息消费、Redis 滑动窗口、数据库事务、Transactional Outbox、幂等、状态机、并发控制、Testcontainers 和链路追踪。</w:t>
      </w:r>
    </w:p>
    <w:p>
      <w:pPr>
        <w:keepLines w:val="0"/>
      </w:pPr>
      <w:r>
        <w:rPr>
          <w:rFonts w:ascii="Microsoft YaHei" w:hAnsi="Microsoft YaHei" w:eastAsia="Microsoft YaHei"/>
        </w:rPr>
        <w:t>AI 应用方向重点讲视觉事件到业务告警的转换、RAG 混合检索和引用评测、Agent 工具权限、两阶段执行、人工审批、无证据拒答和模型反馈闭环。</w:t>
      </w:r>
    </w:p>
    <w:p>
      <w:pPr>
        <w:keepLines w:val="0"/>
      </w:pPr>
      <w:r>
        <w:rPr>
          <w:rFonts w:ascii="Microsoft YaHei" w:hAnsi="Microsoft YaHei" w:eastAsia="Microsoft YaHei"/>
        </w:rPr>
        <w:t>项目最有说服力的演示不是聊天页面，而是一段固定视频触发稳定告警，Agent 找到正确规程并生成处置计划，经人工批准后创建工单，最终将误报或困难样本送入已有补标平台。</w:t>
      </w:r>
    </w:p>
    <w:p>
      <w:pPr>
        <w:pStyle w:val="Heading1"/>
      </w:pPr>
      <w:r>
        <w:t>27 风险清单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应对措施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摄像头解码和推理速度不稳定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帧积压和告警延迟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有界队列、抽帧、最新帧优先、分时调度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小目标和联合场景漏检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告警漏报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时间窗、困难样本反馈、模型版本评测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重复或乱序消息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重复告警和错误窗口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eventId 幂等、分区键、有限乱序处理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LLM 幻觉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错误处置建议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RAG 引用、证据校验、拒答和人工审批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Prompt 注入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越权工具调用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数据与指令隔离、工具白名单、策略层校验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系统技术栈过重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无法稳定演示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模块化单体、分阶段启用中间件、固定回放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简历描述超过实现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面试追问无法证明</w:t>
            </w:r>
          </w:p>
        </w:tc>
        <w:tc>
          <w:tcPr>
            <w:tcW w:type="dxa" w:w="33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README 标记实现状态，保留测试和演示证据</w:t>
            </w:r>
          </w:p>
        </w:tc>
      </w:tr>
    </w:tbl>
    <w:p>
      <w:pPr>
        <w:spacing w:after="40"/>
      </w:pPr>
    </w:p>
    <w:p>
      <w:pPr>
        <w:pStyle w:val="Heading1"/>
      </w:pPr>
      <w:r>
        <w:t>28 参考资料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Spring AI Reference https://docs.spring.io/spring-ai/reference/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Spring Modulith Reference https://docs.spring.io/spring-modulith/reference/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Spring for Apache Kafka Reference https://docs.spring.io/spring-kafka/reference/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OpenTelemetry Java Documentation https://opentelemetry.io/docs/languages/java/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Testcontainers for Java https://java.testcontainers.org/</w:t>
      </w:r>
    </w:p>
    <w:p>
      <w:pPr>
        <w:pStyle w:val="Heading1"/>
      </w:pPr>
      <w:r>
        <w:t>29 设计基线结论</w:t>
      </w:r>
    </w:p>
    <w:p>
      <w:pPr>
        <w:keepLines w:val="0"/>
      </w:pPr>
      <w:r>
        <w:rPr>
          <w:rFonts w:ascii="Microsoft YaHei" w:hAnsi="Microsoft YaHei" w:eastAsia="Microsoft YaHei"/>
        </w:rPr>
        <w:t>第一版以可运行、可复现、可解释为优先级。在线主链路必须在没有大模型时仍能生成告警和完成人工工单；Agent 的价值是结合证据提高研判和处置效率，而不是代替确定性业务系统。</w:t>
      </w:r>
    </w:p>
    <w:p>
      <w:pPr>
        <w:keepLines w:val="0"/>
      </w:pPr>
      <w:r>
        <w:rPr>
          <w:rFonts w:ascii="Microsoft YaHei" w:hAnsi="Microsoft YaHei" w:eastAsia="Microsoft YaHei"/>
        </w:rPr>
        <w:t>当固定视频能够稳定完成检测、时间窗告警、规程检索、Agent 计划、人工审批、工单闭环和样本反馈时，平台才具备完整的第一版交付条件。后续所有技术选型和新增需求均应围绕这一闭环评估，避免偏离项目目标。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E6C78"/>
        <w:sz w:val="17"/>
      </w:rPr>
      <w:t>MineGuard Agent  矿区智能安全监控与处置平台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ptos" w:hAnsi="Aptos" w:eastAsia="Microsoft YaHei"/>
      <w:color w:val="1D27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矿区智能安全监控与处置平台系统设计与开发手册</dc:title>
  <dc:subject>MineGuard Agent 系统设计与开发基线</dc:subject>
  <dc:creator>李嘉鹏</dc:creator>
  <cp:keywords>Spring Boot, YOLO26, RAG, Agent, Kafka, Redis, Mine Safety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