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960" w:after="160"/>
      </w:pPr>
      <w:r>
        <w:rPr>
          <w:rFonts w:ascii="Arial" w:hAnsi="Arial"/>
          <w:b/>
          <w:color w:val="000000"/>
          <w:sz w:val="58"/>
        </w:rPr>
        <w:t>Task 2 Supplementary Architecture Notes</w:t>
      </w:r>
    </w:p>
    <w:p>
      <w:pPr>
        <w:spacing w:after="560"/>
      </w:pPr>
      <w:r>
        <w:rPr>
          <w:rFonts w:ascii="Arial" w:hAnsi="Arial"/>
          <w:color w:val="4B5563"/>
          <w:sz w:val="32"/>
        </w:rPr>
        <w:t>Distributed EV Charging Navigation System</w:t>
      </w:r>
    </w:p>
    <w:p>
      <w:pPr>
        <w:spacing w:after="300" w:line="259" w:lineRule="auto"/>
      </w:pPr>
      <w:r>
        <w:rPr>
          <w:rFonts w:ascii="Arial" w:hAnsi="Arial"/>
          <w:color w:val="303846"/>
          <w:sz w:val="23"/>
        </w:rPr>
        <w:t>This document supplements the presentation by enlarging the architecture diagrams and recording the assumptions needed to interpret them. The design models 64 charging nodes and four base stations on a cluster. MPI carries inter-process messages, while OpenMP accelerates each base station's local candidate search.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shd w:fill="EAF2FF"/>
          </w:tcPr>
          <w:p>
            <w:pPr>
              <w:spacing w:after="0"/>
            </w:pPr>
            <w:r>
              <w:rPr>
                <w:rFonts w:ascii="Arial" w:hAnsi="Arial"/>
                <w:b/>
                <w:color w:val="2563EB"/>
                <w:sz w:val="20"/>
              </w:rPr>
              <w:t>Logical topology</w:t>
            </w:r>
          </w:p>
        </w:tc>
        <w:tc>
          <w:tcPr>
            <w:tcW w:type="dxa" w:w="7488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846"/>
                <w:sz w:val="20"/>
              </w:rPr>
              <w:t>8 by 8 non-periodic mesh with direct logical-neighbour communication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shd w:fill="EAF2FF"/>
          </w:tcPr>
          <w:p>
            <w:pPr>
              <w:spacing w:after="0"/>
            </w:pPr>
            <w:r>
              <w:rPr>
                <w:rFonts w:ascii="Arial" w:hAnsi="Arial"/>
                <w:b/>
                <w:color w:val="2563EB"/>
                <w:sz w:val="20"/>
              </w:rPr>
              <w:t>Parallel model</w:t>
            </w:r>
          </w:p>
        </w:tc>
        <w:tc>
          <w:tcPr>
            <w:tcW w:type="dxa" w:w="7488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846"/>
                <w:sz w:val="20"/>
              </w:rPr>
              <w:t>64 single-threaded node ranks; four base ranks with four OpenMP threads each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shd w:fill="EAF2FF"/>
          </w:tcPr>
          <w:p>
            <w:pPr>
              <w:spacing w:after="0"/>
            </w:pPr>
            <w:r>
              <w:rPr>
                <w:rFonts w:ascii="Arial" w:hAnsi="Arial"/>
                <w:b/>
                <w:color w:val="2563EB"/>
                <w:sz w:val="20"/>
              </w:rPr>
              <w:t>Deployment</w:t>
            </w:r>
          </w:p>
        </w:tc>
        <w:tc>
          <w:tcPr>
            <w:tcW w:type="dxa" w:w="7488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846"/>
                <w:sz w:val="20"/>
              </w:rPr>
              <w:t>Four 32-core hosts; 20 active cores per host; 80 active cores overall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shd w:fill="EAF2FF"/>
          </w:tcPr>
          <w:p>
            <w:pPr>
              <w:spacing w:after="0"/>
            </w:pPr>
            <w:r>
              <w:rPr>
                <w:rFonts w:ascii="Arial" w:hAnsi="Arial"/>
                <w:b/>
                <w:color w:val="2563EB"/>
                <w:sz w:val="20"/>
              </w:rPr>
              <w:t>Communication</w:t>
            </w:r>
          </w:p>
        </w:tc>
        <w:tc>
          <w:tcPr>
            <w:tcW w:type="dxa" w:w="7488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846"/>
                <w:sz w:val="20"/>
              </w:rPr>
              <w:t>Point-to-point operational protocol; Bcast for setup and Barrier for round completion</w:t>
            </w:r>
          </w:p>
        </w:tc>
      </w:tr>
    </w:tbl>
    <w:p>
      <w:pPr>
        <w:pStyle w:val="Heading2"/>
        <w:keepNext/>
        <w:spacing w:before="0" w:after="80"/>
      </w:pPr>
      <w:r>
        <w:rPr>
          <w:rFonts w:ascii="Arial" w:hAnsi="Arial"/>
          <w:b/>
          <w:color w:val="000000"/>
          <w:sz w:val="26"/>
        </w:rPr>
        <w:t>Design scope</w:t>
      </w:r>
    </w:p>
    <w:p>
      <w:pPr>
        <w:pStyle w:val="ListBullet"/>
        <w:spacing w:after="40" w:line="245" w:lineRule="auto"/>
        <w:ind w:left="346" w:hanging="202"/>
      </w:pPr>
      <w:r>
        <w:rPr>
          <w:rFonts w:ascii="Arial" w:hAnsi="Arial"/>
          <w:color w:val="303846"/>
          <w:sz w:val="20"/>
        </w:rPr>
        <w:t>The threshold, number of rounds, mesh dimensions and update frequency are user-configurable.</w:t>
      </w:r>
    </w:p>
    <w:p>
      <w:pPr>
        <w:pStyle w:val="ListBullet"/>
        <w:spacing w:after="40" w:line="245" w:lineRule="auto"/>
        <w:ind w:left="346" w:hanging="202"/>
      </w:pPr>
      <w:r>
        <w:rPr>
          <w:rFonts w:ascii="Arial" w:hAnsi="Arial"/>
          <w:color w:val="303846"/>
          <w:sz w:val="20"/>
        </w:rPr>
        <w:t>Logical adjacency is independent of physical rank placement. The regular mesh is a reproducible simulation baseline.</w:t>
      </w:r>
    </w:p>
    <w:p>
      <w:pPr>
        <w:pStyle w:val="ListBullet"/>
        <w:spacing w:after="40" w:line="245" w:lineRule="auto"/>
        <w:ind w:left="346" w:hanging="202"/>
      </w:pPr>
      <w:r>
        <w:rPr>
          <w:rFonts w:ascii="Arial" w:hAnsi="Arial"/>
          <w:color w:val="303846"/>
          <w:sz w:val="20"/>
        </w:rPr>
        <w:t>Charging ports remain local objects inside a charging-node process and do not create extra MPI ranks.</w:t>
      </w:r>
    </w:p>
    <w:p>
      <w:pPr>
        <w:sectPr>
          <w:footerReference w:type="default" r:id="rId9"/>
          <w:pgSz w:w="11909" w:h="16834"/>
          <w:pgMar w:top="1037" w:right="1037" w:bottom="1037" w:left="1037" w:header="360" w:footer="360" w:gutter="0"/>
          <w:cols w:space="720"/>
          <w:docGrid w:linePitch="360"/>
        </w:sectPr>
      </w:pPr>
    </w:p>
    <w:p>
      <w:pPr>
        <w:pStyle w:val="Heading1"/>
        <w:keepNext/>
        <w:spacing w:before="0" w:after="140"/>
      </w:pPr>
      <w:r>
        <w:rPr>
          <w:rFonts w:ascii="Arial" w:hAnsi="Arial"/>
          <w:b/>
          <w:color w:val="000000"/>
          <w:sz w:val="40"/>
        </w:rPr>
        <w:t>Static software structure</w:t>
      </w:r>
    </w:p>
    <w:p>
      <w:pPr>
        <w:spacing w:after="80" w:line="259" w:lineRule="auto"/>
      </w:pPr>
      <w:r>
        <w:rPr>
          <w:rFonts w:ascii="Arial" w:hAnsi="Arial"/>
          <w:color w:val="303846"/>
          <w:sz w:val="20"/>
        </w:rPr>
        <w:t>The diagram identifies every required simulation component and separates distributed processes from local state.</w:t>
      </w:r>
    </w:p>
    <w:p>
      <w:pPr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8732520" cy="51865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-p2p-class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5186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 w:line="245" w:lineRule="auto"/>
        <w:ind w:left="346" w:hanging="202"/>
      </w:pPr>
      <w:r>
        <w:rPr>
          <w:rFonts w:ascii="Arial" w:hAnsi="Arial"/>
          <w:color w:val="303846"/>
          <w:sz w:val="17"/>
        </w:rPr>
        <w:t>ChargingNode and BaseStation are MPI processes. ChargingPort remains local state inside ChargingNode.</w:t>
      </w:r>
    </w:p>
    <w:p>
      <w:pPr>
        <w:pStyle w:val="ListBullet"/>
        <w:spacing w:after="20" w:line="245" w:lineRule="auto"/>
        <w:ind w:left="346" w:hanging="202"/>
      </w:pPr>
      <w:r>
        <w:rPr>
          <w:rFonts w:ascii="Arial" w:hAnsi="Arial"/>
          <w:color w:val="303846"/>
          <w:sz w:val="17"/>
        </w:rPr>
        <w:t>Four OpenMP threads search disjoint cache partitions; the master thread merges their results.</w:t>
      </w:r>
    </w:p>
    <w:p>
      <w:pPr>
        <w:pStyle w:val="ListBullet"/>
        <w:spacing w:after="20" w:line="245" w:lineRule="auto"/>
        <w:ind w:left="346" w:hanging="202"/>
      </w:pPr>
      <w:r>
        <w:rPr>
          <w:rFonts w:ascii="Arial" w:hAnsi="Arial"/>
          <w:color w:val="303846"/>
          <w:sz w:val="17"/>
        </w:rPr>
        <w:t>DistancePolicy can replace logical Manhattan distance with road distance or travel time.</w:t>
      </w:r>
    </w:p>
    <w:p>
      <w:pPr>
        <w:sectPr>
          <w:footerReference w:type="default" r:id="rId10"/>
          <w:pgSz w:w="16834" w:h="11909" w:orient="landscape"/>
          <w:pgMar w:top="691" w:right="691" w:bottom="691" w:left="691" w:header="360" w:footer="360" w:gutter="0"/>
          <w:cols w:space="720"/>
          <w:docGrid w:linePitch="360"/>
        </w:sectPr>
      </w:pPr>
    </w:p>
    <w:p>
      <w:pPr>
        <w:pStyle w:val="Heading1"/>
        <w:keepNext/>
        <w:spacing w:before="0" w:after="140"/>
      </w:pPr>
      <w:r>
        <w:rPr>
          <w:rFonts w:ascii="Arial" w:hAnsi="Arial"/>
          <w:b/>
          <w:color w:val="000000"/>
          <w:sz w:val="40"/>
        </w:rPr>
        <w:t>Communication sequence for one round</w:t>
      </w:r>
    </w:p>
    <w:p>
      <w:pPr>
        <w:spacing w:after="60" w:line="259" w:lineRule="auto"/>
      </w:pPr>
      <w:r>
        <w:rPr>
          <w:rFonts w:ascii="Arial" w:hAnsi="Arial"/>
          <w:color w:val="303846"/>
          <w:sz w:val="19"/>
        </w:rPr>
        <w:t>Every phase has a known completion rule. Fixed query-intent records and count-before-batch exchange prevent indefinite receives.</w:t>
      </w:r>
    </w:p>
    <w:p>
      <w:pPr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601968" cy="63618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-p2p-sequence-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1968" cy="6361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59" w:lineRule="auto"/>
      </w:pPr>
      <w:r>
        <w:rPr>
          <w:rFonts w:ascii="Arial" w:hAnsi="Arial"/>
          <w:color w:val="303846"/>
          <w:sz w:val="18"/>
        </w:rPr>
        <w:t>Only active query records request neighbour data. ALERT_DECISION(true) is the specification-level alert; false records complete the phase without creating an alert. OpenMP performs local cache search before the master thread exchanges candidate batches.</w:t>
      </w:r>
    </w:p>
    <w:p>
      <w:pPr>
        <w:sectPr>
          <w:footerReference w:type="default" r:id="rId12"/>
          <w:pgSz w:w="11909" w:h="16834"/>
          <w:pgMar w:top="648" w:right="648" w:bottom="648" w:left="648" w:header="360" w:footer="360" w:gutter="0"/>
          <w:cols w:space="720"/>
          <w:docGrid w:linePitch="360"/>
        </w:sectPr>
      </w:pPr>
    </w:p>
    <w:p>
      <w:pPr>
        <w:pStyle w:val="Heading1"/>
        <w:keepNext/>
        <w:spacing w:before="0" w:after="140"/>
      </w:pPr>
      <w:r>
        <w:rPr>
          <w:rFonts w:ascii="Arial" w:hAnsi="Arial"/>
          <w:b/>
          <w:color w:val="000000"/>
          <w:sz w:val="40"/>
        </w:rPr>
        <w:t>Rank layout and cluster deployment</w:t>
      </w:r>
    </w:p>
    <w:p>
      <w:pPr>
        <w:spacing w:after="80" w:line="259" w:lineRule="auto"/>
      </w:pPr>
      <w:r>
        <w:rPr>
          <w:rFonts w:ascii="Arial" w:hAnsi="Arial"/>
          <w:color w:val="303846"/>
          <w:sz w:val="20"/>
        </w:rPr>
        <w:t>Ranks share MPI_COMM_WORLD. Rank arithmetic creates the logical mesh; physical placement groups each region with its assigned base.</w:t>
      </w:r>
    </w:p>
    <w:p>
      <w:pPr>
        <w:spacing w:before="0" w:after="100"/>
        <w:jc w:val="center"/>
      </w:pPr>
      <w:r>
        <w:drawing>
          <wp:inline xmlns:a="http://schemas.openxmlformats.org/drawingml/2006/main" xmlns:pic="http://schemas.openxmlformats.org/drawingml/2006/picture">
            <wp:extent cx="9646920" cy="54958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-p2p-deployment-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5495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 w:line="245" w:lineRule="auto"/>
        <w:ind w:left="346" w:hanging="202"/>
      </w:pPr>
      <w:r>
        <w:rPr>
          <w:rFonts w:ascii="Arial" w:hAnsi="Arial"/>
          <w:color w:val="303846"/>
          <w:sz w:val="18"/>
        </w:rPr>
        <w:t>For nodeIndex = rank - S: row = nodeIndex / C and column = nodeIndex % C. Boundary checks return up to four valid neighbours.</w:t>
      </w:r>
    </w:p>
    <w:p>
      <w:pPr>
        <w:pStyle w:val="ListBullet"/>
        <w:spacing w:after="40" w:line="245" w:lineRule="auto"/>
        <w:ind w:left="346" w:hanging="202"/>
      </w:pPr>
      <w:r>
        <w:rPr>
          <w:rFonts w:ascii="Arial" w:hAnsi="Arial"/>
          <w:color w:val="303846"/>
          <w:sz w:val="18"/>
        </w:rPr>
        <w:t>Each OpenMP team contains four total threads, including the master thread. MPI is initialised with MPI_THREAD_FUNNELED.</w:t>
      </w:r>
    </w:p>
    <w:p>
      <w:pPr>
        <w:sectPr>
          <w:footerReference w:type="default" r:id="rId14"/>
          <w:pgSz w:w="16834" w:h="11909" w:orient="landscape"/>
          <w:pgMar w:top="691" w:right="691" w:bottom="691" w:left="691" w:header="360" w:footer="360" w:gutter="0"/>
          <w:cols w:space="720"/>
          <w:docGrid w:linePitch="360"/>
        </w:sectPr>
      </w:pPr>
    </w:p>
    <w:p>
      <w:pPr>
        <w:pStyle w:val="Heading1"/>
        <w:keepNext/>
        <w:spacing w:before="0" w:after="140"/>
      </w:pPr>
      <w:r>
        <w:rPr>
          <w:rFonts w:ascii="Arial" w:hAnsi="Arial"/>
          <w:b/>
          <w:color w:val="000000"/>
          <w:sz w:val="40"/>
        </w:rPr>
        <w:t>Message catalogue and sizing</w:t>
      </w:r>
    </w:p>
    <w:p>
      <w:pPr>
        <w:spacing w:after="100" w:line="259" w:lineRule="auto"/>
      </w:pPr>
      <w:r>
        <w:rPr>
          <w:rFonts w:ascii="Arial" w:hAnsi="Arial"/>
          <w:color w:val="303846"/>
          <w:sz w:val="19"/>
        </w:rPr>
        <w:t>Payload sizes are analytical assumptions and exclude MPI and lower-level network headers. Task 3 uses the same catalogue.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203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Message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203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Direction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203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Payload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203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MPI operation</w:t>
            </w:r>
          </w:p>
        </w:tc>
        <w:tc>
          <w:tcPr>
            <w:tcW w:type="dxa" w:w="1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2033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Per-round scaling</w:t>
            </w:r>
          </w:p>
        </w:tc>
      </w:tr>
      <w:tr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CONFIG_BCAST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base 0 to all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64 B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Bcast</w:t>
            </w:r>
          </w:p>
        </w:tc>
        <w:tc>
          <w:tcPr>
            <w:tcW w:type="dxa" w:w="1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startup only</w:t>
            </w:r>
          </w:p>
        </w:tc>
      </w:tr>
      <w:tr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STATUS_REPORT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node to assigned base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32 B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Isend/Irecv/Waitall</w:t>
            </w:r>
          </w:p>
        </w:tc>
        <w:tc>
          <w:tcPr>
            <w:tcW w:type="dxa" w:w="1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N</w:t>
            </w:r>
          </w:p>
        </w:tc>
      </w:tr>
      <w:tr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QUERY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node to neighbour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16 B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Isend/Irecv/Waitall</w:t>
            </w:r>
          </w:p>
        </w:tc>
        <w:tc>
          <w:tcPr>
            <w:tcW w:type="dxa" w:w="1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2E_mesh</w:t>
            </w:r>
          </w:p>
        </w:tc>
      </w:tr>
      <w:tr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NEIGHBOUR_REPLY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neighbour to active node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24 B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Isend/Irecv/Waitall</w:t>
            </w:r>
          </w:p>
        </w:tc>
        <w:tc>
          <w:tcPr>
            <w:tcW w:type="dxa" w:w="1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up to 2E_mesh</w:t>
            </w:r>
          </w:p>
        </w:tc>
      </w:tr>
      <w:tr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ALERT_DECISION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heavy node to base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32 B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Isend/Irecv/Waitall</w:t>
            </w:r>
          </w:p>
        </w:tc>
        <w:tc>
          <w:tcPr>
            <w:tcW w:type="dxa" w:w="1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H; A true</w:t>
            </w:r>
          </w:p>
        </w:tc>
      </w:tr>
      <w:tr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BASE_ALERT_COUNT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each base to other bases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4 B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Isend/Irecv/Waitall</w:t>
            </w:r>
          </w:p>
        </w:tc>
        <w:tc>
          <w:tcPr>
            <w:tcW w:type="dxa" w:w="1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S(S-1)</w:t>
            </w:r>
          </w:p>
        </w:tc>
      </w:tr>
      <w:tr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ALERT_BATCH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each base to other bases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32 B/alert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Isend/Irecv/Waitall</w:t>
            </w:r>
          </w:p>
        </w:tc>
        <w:tc>
          <w:tcPr>
            <w:tcW w:type="dxa" w:w="1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A(S-1)</w:t>
            </w:r>
          </w:p>
        </w:tc>
      </w:tr>
      <w:tr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CANDIDATE_BATCH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base to alert owner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16 B/item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Isend/Irecv/Waitall</w:t>
            </w:r>
          </w:p>
        </w:tc>
        <w:tc>
          <w:tcPr>
            <w:tcW w:type="dxa" w:w="1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A(S-1)</w:t>
            </w:r>
          </w:p>
        </w:tc>
      </w:tr>
      <w:tr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REDIRECT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owner base to source node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24 B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Send/Recv</w:t>
            </w:r>
          </w:p>
        </w:tc>
        <w:tc>
          <w:tcPr>
            <w:tcW w:type="dxa" w:w="1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up to A</w:t>
            </w:r>
          </w:p>
        </w:tc>
      </w:tr>
      <w:tr>
        <w:tc>
          <w:tcPr>
            <w:tcW w:type="dxa" w:w="18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ROUND_SYNC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all ranks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0 B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Barrier</w:t>
            </w:r>
          </w:p>
        </w:tc>
        <w:tc>
          <w:tcPr>
            <w:tcW w:type="dxa" w:w="1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303846"/>
                <w:sz w:val="15"/>
              </w:rPr>
              <w:t>once</w:t>
            </w:r>
          </w:p>
        </w:tc>
      </w:tr>
    </w:tbl>
    <w:p>
      <w:pPr>
        <w:pStyle w:val="Heading2"/>
        <w:keepNext/>
        <w:spacing w:before="0" w:after="80"/>
      </w:pPr>
      <w:r>
        <w:rPr>
          <w:rFonts w:ascii="Arial" w:hAnsi="Arial"/>
          <w:b/>
          <w:color w:val="000000"/>
          <w:sz w:val="26"/>
        </w:rPr>
        <w:t>Correctness and bandwidth</w:t>
      </w:r>
    </w:p>
    <w:p>
      <w:pPr>
        <w:spacing w:after="80" w:line="259" w:lineRule="auto"/>
      </w:pPr>
      <w:r>
        <w:rPr>
          <w:rFonts w:ascii="Arial" w:hAnsi="Arial"/>
          <w:color w:val="303846"/>
          <w:sz w:val="18"/>
        </w:rPr>
        <w:t>Receives are posted before matching sends, non-blocking requests complete before buffer reuse, distinct tags separate message classes, and round identifiers reject stale records. OpenMP workers access local memory only; the master thread performs MPI calls under MPI_THREAD_FUNNELED.</w:t>
      </w:r>
    </w:p>
    <w:p>
      <w:pPr>
        <w:spacing w:after="80" w:line="259" w:lineRule="auto"/>
      </w:pPr>
      <w:r>
        <w:rPr>
          <w:rFonts w:ascii="Arial" w:hAnsi="Arial"/>
          <w:color w:val="303846"/>
          <w:sz w:val="18"/>
        </w:rPr>
        <w:t>For the four-host worst case with A = N = 64, external payload is 10,544 bytes per round: 1,280 bytes of cross-region neighbour traffic, 48 bytes of alert counts, 6,144 bytes of alert batches and 3,072 bytes of candidate batches. At one round per second with a 25 percent allowance, required aggregate bandwidth is 1.25 x 8 x 10,544 = 0.10544 Mbps.</w:t>
      </w:r>
    </w:p>
    <w:p>
      <w:pPr>
        <w:spacing w:after="0"/>
      </w:pPr>
      <w:r>
        <w:rPr>
          <w:rFonts w:ascii="Arial" w:hAnsi="Arial"/>
          <w:b/>
          <w:color w:val="B45309"/>
          <w:sz w:val="18"/>
        </w:rPr>
        <w:t xml:space="preserve">Limitations and future work. </w:t>
      </w:r>
      <w:r>
        <w:rPr>
          <w:rFonts w:ascii="Arial" w:hAnsi="Arial"/>
          <w:color w:val="303846"/>
          <w:sz w:val="18"/>
        </w:rPr>
        <w:t>The baseline assumes reliable MPI ranks and uses logical Manhattan distance. Process-failure handling and a real road or travel-time distance source remain future extensions.</w:t>
      </w:r>
    </w:p>
    <w:sectPr w:rsidR="00FC693F" w:rsidRPr="0006063C" w:rsidSect="00034616">
      <w:footerReference w:type="default" r:id="rId16"/>
      <w:pgSz w:w="11909" w:h="16834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color w:val="6B7280"/>
        <w:sz w:val="16"/>
      </w:rPr>
      <w:t>FIT3143 Applied 1   Group 07   Task 2 supplementary notes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color w:val="6B7280"/>
        <w:sz w:val="16"/>
      </w:rPr>
      <w:t>FIT3143 Applied 1   Group 07   Task 2 supplementary notes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color w:val="6B7280"/>
        <w:sz w:val="16"/>
      </w:rPr>
      <w:t>FIT3143 Applied 1   Group 07   Task 2 supplementary notes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color w:val="6B7280"/>
        <w:sz w:val="16"/>
      </w:rPr>
      <w:t>FIT3143 Applied 1   Group 07   Task 2 supplementary notes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color w:val="6B7280"/>
        <w:sz w:val="16"/>
      </w:rPr>
      <w:t>FIT3143 Applied 1   Group 07   Task 2 supplementary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image" Target="media/image3.png"/><Relationship Id="rId16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2 Supplementary Architecture Notes</dc:title>
  <dc:subject>FIT3143 Applied 1 Group 07</dc:subject>
  <dc:creator>Group 07</dc:creator>
  <cp:keywords>MPI, OpenMP, EV charging, architecture, Task 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