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Jiaqi</w:t>
      </w:r>
      <w:r>
        <w:t xml:space="preserve"> </w:t>
      </w:r>
      <w:r>
        <w:t xml:space="preserve">Zou</w:t>
      </w:r>
    </w:p>
    <w:p>
      <w:pPr>
        <w:pStyle w:val="Date"/>
      </w:pPr>
      <w:r>
        <w:t xml:space="preserve">2020/9/29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1+2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You need 5 spaces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Module2-R Markdown Document 1</dc:title>
  <dc:creator>Jiaqi Zou</dc:creator>
  <cp:keywords/>
  <dcterms:created xsi:type="dcterms:W3CDTF">2020-09-29T08:30:54Z</dcterms:created>
  <dcterms:modified xsi:type="dcterms:W3CDTF">2020-09-29T08:30:54Z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2020/9/29</vt:lpwstr>
  </property>
  <property fmtid="{D5CDD505-2E9C-101B-9397-08002B2CF9AE}" pid="3" name="output">
    <vt:lpwstr/>
  </property>
</Properties>
</file>