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8E"/>
          <w:sz w:val="56"/>
        </w:rPr>
        <w:t>上海小区开放日测算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36"/>
        </w:rPr>
        <w:t>试点大区选址分析报告</w:t>
      </w:r>
    </w:p>
    <w:p/>
    <w:p/>
    <w:p/>
    <w:p>
      <w:pPr>
        <w:jc w:val="center"/>
      </w:pPr>
      <w:r>
        <w:rPr>
          <w:rFonts w:ascii="微软雅黑" w:hAnsi="微软雅黑" w:eastAsia="微软雅黑"/>
          <w:color w:val="777777"/>
          <w:sz w:val="22"/>
        </w:rPr>
        <w:t>数据来源：上海小区开放日测算数据 v1</w:t>
        <w:br/>
        <w:t>样本量：14312 个小区 · 79 个大区</w:t>
        <w:br/>
        <w:t>测算引擎：几何体量 + 商品门控 (geometric_catalyst_v2)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一、测算方法</w:t>
      </w:r>
    </w:p>
    <w:p>
      <w:pPr>
        <w:pStyle w:val="Heading2"/>
      </w:pPr>
      <w:r>
        <w:rPr>
          <w:rFonts w:ascii="微软雅黑" w:hAnsi="微软雅黑" w:eastAsia="微软雅黑"/>
        </w:rPr>
        <w:t>1.1 整体架构</w:t>
      </w:r>
    </w:p>
    <w:p>
      <w:r>
        <w:rPr>
          <w:rFonts w:ascii="微软雅黑" w:hAnsi="微软雅黑" w:eastAsia="微软雅黑"/>
        </w:rPr>
        <w:t>本测算采用 DDD 分层架构，核心计算链路为：数据上传 → 字段映射 → 行标准化 → 水位线计算 → 分项打分 → Skill合成 → 分级排序。整个流程由后台 API 接口驱动，单次 14,312 行数据测算耗时仅约 200ms。</w:t>
      </w:r>
    </w:p>
    <w:p>
      <w:pPr>
        <w:pStyle w:val="Heading2"/>
      </w:pPr>
      <w:r>
        <w:rPr>
          <w:rFonts w:ascii="微软雅黑" w:hAnsi="微软雅黑" w:eastAsia="微软雅黑"/>
        </w:rPr>
        <w:t>1.2 测算技能（Skill）</w:t>
      </w:r>
    </w:p>
    <w:p>
      <w:r>
        <w:rPr>
          <w:rFonts w:ascii="微软雅黑" w:hAnsi="微软雅黑" w:eastAsia="微软雅黑"/>
        </w:rPr>
        <w:t>本次采用「几何体量 + 商品门控 (geometric_catalyst_v2)」技能。这是当前默认测算引擎，专为开放日选址场景设计。</w:t>
      </w:r>
    </w:p>
    <w:p>
      <w:pPr>
        <w:pStyle w:val="Heading2"/>
      </w:pPr>
      <w:r>
        <w:rPr>
          <w:rFonts w:ascii="微软雅黑" w:hAnsi="微软雅黑" w:eastAsia="微软雅黑"/>
        </w:rPr>
        <w:t>1.3 四维分项打分</w:t>
      </w:r>
    </w:p>
    <w:p>
      <w:r>
        <w:rPr>
          <w:rFonts w:ascii="微软雅黑" w:hAnsi="微软雅黑" w:eastAsia="微软雅黑"/>
        </w:rPr>
        <w:t>对每一个小区，先计算 4 个分项指数，均在 0~100 范围：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代号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计算方式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水位线来源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规模指数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min(在售房源量 / I_cap, 1) × 100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P95（在售量前5%）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流量指数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min((带看量 / V_cap)^0.8, 1) × 100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P95（带看量前5%）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货品指数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H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min(好房量 / H_cap, 1) × 100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P95（好房量前5%）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交互指数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min(转化率 / R_cap, 1) × 100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P75（转化率前25%）</w:t>
            </w:r>
          </w:p>
        </w:tc>
      </w:tr>
    </w:tbl>
    <w:p/>
    <w:p>
      <w:r>
        <w:rPr>
          <w:rFonts w:ascii="微软雅黑" w:hAnsi="微软雅黑" w:eastAsia="微软雅黑"/>
        </w:rPr>
        <w:t>其中转化率 = 成交量 ÷ 带看量（带看量为0则转化率为0）。流量指数使用幂平滑 α=0.8，避免极端大流量盘完全主导打分。</w:t>
      </w:r>
    </w:p>
    <w:p>
      <w:pPr>
        <w:pStyle w:val="Heading2"/>
      </w:pPr>
      <w:r>
        <w:rPr>
          <w:rFonts w:ascii="微软雅黑" w:hAnsi="微软雅黑" w:eastAsia="微软雅黑"/>
        </w:rPr>
        <w:t>1.4 技能合成公式</w:t>
      </w:r>
    </w:p>
    <w:p>
      <w:r>
        <w:rPr>
          <w:rFonts w:ascii="微软雅黑" w:hAnsi="微软雅黑" w:eastAsia="微软雅黑"/>
        </w:rPr>
        <w:t>本次使用「几何体量 + 商品门控」公式如下：</w:t>
      </w:r>
    </w:p>
    <w:p>
      <w:r>
        <w:rPr>
          <w:rFonts w:ascii="微软雅黑" w:hAnsi="微软雅黑" w:eastAsia="微软雅黑"/>
          <w:b/>
        </w:rPr>
        <w:t>体量分 = √(规模指数 × 流量指数)</w:t>
      </w:r>
    </w:p>
    <w:p>
      <w:r>
        <w:rPr>
          <w:rFonts w:ascii="微软雅黑" w:hAnsi="微软雅黑" w:eastAsia="微软雅黑"/>
          <w:b/>
        </w:rPr>
        <w:t>催化分 = 货品指数 × (0.65 + 0.35 × 交互指数)</w:t>
      </w:r>
    </w:p>
    <w:p>
      <w:r>
        <w:rPr>
          <w:rFonts w:ascii="微软雅黑" w:hAnsi="微软雅黑" w:eastAsia="微软雅黑"/>
          <w:b/>
        </w:rPr>
        <w:t>原始分 = 体量分 × 催化分 × 100</w:t>
      </w:r>
    </w:p>
    <w:p>
      <w:r>
        <w:rPr>
          <w:rFonts w:ascii="微软雅黑" w:hAnsi="微软雅黑" w:eastAsia="微软雅黑"/>
        </w:rPr>
        <w:t>设计理念：</w:t>
      </w:r>
    </w:p>
    <w:p>
      <w:r>
        <w:rPr>
          <w:rFonts w:ascii="微软雅黑" w:hAnsi="微软雅黑" w:eastAsia="微软雅黑"/>
        </w:rPr>
        <w:t>• 几何平均（非算术平均）：规模和流量任一拖后腿都会明显拉低体量分，避免大流量零库存盘获得虚高分。</w:t>
      </w:r>
    </w:p>
    <w:p>
      <w:r>
        <w:rPr>
          <w:rFonts w:ascii="微软雅黑" w:hAnsi="微软雅黑" w:eastAsia="微软雅黑"/>
        </w:rPr>
        <w:t>• 货品做硬乘子：好房数是乘在公式里的，好房为0则催化分为0、总分直接归零——体现“没有好房就没有开放日”的核心理念。</w:t>
      </w:r>
    </w:p>
    <w:p>
      <w:r>
        <w:rPr>
          <w:rFonts w:ascii="微软雅黑" w:hAnsi="微软雅黑" w:eastAsia="微软雅黑"/>
        </w:rPr>
        <w:t>• 交互做加成项：转化率不是乘子而是软性加成（权重35%），转化好可加分但不能替代货品。</w:t>
      </w:r>
    </w:p>
    <w:p>
      <w:pPr>
        <w:pStyle w:val="Heading2"/>
      </w:pPr>
      <w:r>
        <w:rPr>
          <w:rFonts w:ascii="微软雅黑" w:hAnsi="微软雅黑" w:eastAsia="微软雅黑"/>
        </w:rPr>
        <w:t>1.5 水位线计算（动态分位模式）</w:t>
      </w:r>
    </w:p>
    <w:p>
      <w:r>
        <w:rPr>
          <w:rFonts w:ascii="微软雅黑" w:hAnsi="微软雅黑" w:eastAsia="微软雅黑"/>
        </w:rPr>
        <w:t>水位线决定“满分基准”——即大盘中什么样的盘能在各维度拿到100分。当前采用动态分位模式，从全量上传数据中取百分位值：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水位线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本次实际值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I_cap（规模水位）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P95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在售量前5%的水平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V_cap（流量水位）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P95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带看量前5%的水平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277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H_cap（货品水位）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P95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好房数前5%的水平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R_cap（转化水位）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P75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转化率前25%的水平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0.0119</w:t>
            </w:r>
          </w:p>
        </w:tc>
      </w:tr>
    </w:tbl>
    <w:p/>
    <w:p>
      <w:r>
        <w:rPr>
          <w:rFonts w:ascii="微软雅黑" w:hAnsi="微软雅黑" w:eastAsia="微软雅黑"/>
        </w:rPr>
        <w:t>水位线只使用有在售且带看&gt;0的有效楼盘参与计算，排除空盘和零带看盘对分位的干扰。</w:t>
      </w:r>
    </w:p>
    <w:p>
      <w:pPr>
        <w:pStyle w:val="Heading2"/>
      </w:pPr>
      <w:r>
        <w:rPr>
          <w:rFonts w:ascii="微软雅黑" w:hAnsi="微软雅黑" w:eastAsia="微软雅黑"/>
        </w:rPr>
        <w:t>1.6 逻辑守卫（Logic Guard）</w:t>
      </w:r>
    </w:p>
    <w:p>
      <w:r>
        <w:rPr>
          <w:rFonts w:ascii="微软雅黑" w:hAnsi="微软雅黑" w:eastAsia="微软雅黑"/>
        </w:rPr>
        <w:t>系统自动扫描每行数据的逻辑异常：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严重程度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有成交无带看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🔴 Error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成交量 &gt; 0 但带看量 = 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转化率异常高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🟡 Warning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转化率 &gt; 80% 且成交量 &gt; 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二、数据口径</w:t>
      </w:r>
    </w:p>
    <w:p>
      <w:pPr>
        <w:pStyle w:val="Heading2"/>
      </w:pPr>
      <w:r>
        <w:rPr>
          <w:rFonts w:ascii="微软雅黑" w:hAnsi="微软雅黑" w:eastAsia="微软雅黑"/>
        </w:rPr>
        <w:t>2.1 入库字段</w:t>
      </w:r>
    </w:p>
    <w:p>
      <w:r>
        <w:rPr>
          <w:rFonts w:ascii="微软雅黑" w:hAnsi="微软雅黑" w:eastAsia="微软雅黑"/>
        </w:rPr>
        <w:t>本次上海试点数据（上海小区开放日测算数据v1.xlsx）包含 2 个 Sheet，通过小区名称跨表关联：</w:t>
      </w:r>
    </w:p>
    <w:p>
      <w:r>
        <w:rPr>
          <w:rFonts w:ascii="微软雅黑" w:hAnsi="微软雅黑" w:eastAsia="微软雅黑"/>
          <w:b/>
        </w:rPr>
        <w:t>Sheet1「大区-小区映射」: 大区名称 + 小区名称，79个大区，14306条映射。</w:t>
      </w:r>
    </w:p>
    <w:p>
      <w:r>
        <w:rPr>
          <w:rFonts w:ascii="微软雅黑" w:hAnsi="微软雅黑" w:eastAsia="微软雅黑"/>
          <w:b/>
        </w:rPr>
        <w:t>Sheet2「小区源数据」: 6 列指标数据，14312 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系统字段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楼盘名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小区/楼盘名称，空名行自动过滤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楼盘ID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系统内部ID，不参与测算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带看量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traffic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周期内经纪人带客户看房人次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在售房源量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inventory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当前挂牌在售二手房套数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好房量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premium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被标记为好房的房源数量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成交量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transactions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周期内实际成交套数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大区（Join添加）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area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通过小区名称关联Sheet1获得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指标口径说明</w:t>
      </w:r>
    </w:p>
    <w:p>
      <w:r>
        <w:rPr>
          <w:rFonts w:ascii="微软雅黑" w:hAnsi="微软雅黑" w:eastAsia="微软雅黑"/>
        </w:rPr>
        <w:t>• 在售房源量：反映小区的规模潜力，在售越多意味着可操作空间越大。</w:t>
      </w:r>
    </w:p>
    <w:p>
      <w:r>
        <w:rPr>
          <w:rFonts w:ascii="微软雅黑" w:hAnsi="微软雅黑" w:eastAsia="微软雅黑"/>
        </w:rPr>
        <w:t>• 带看量：反映小区的流量活跃度，带看越多意味着自然客流越旺。</w:t>
      </w:r>
    </w:p>
    <w:p>
      <w:r>
        <w:rPr>
          <w:rFonts w:ascii="微软雅黑" w:hAnsi="微软雅黑" w:eastAsia="微软雅黑"/>
        </w:rPr>
        <w:t>• 成交量：反映小区的转化能力，是判断市场热度的核心指标。</w:t>
      </w:r>
    </w:p>
    <w:p>
      <w:r>
        <w:rPr>
          <w:rFonts w:ascii="微软雅黑" w:hAnsi="微软雅黑" w:eastAsia="微软雅黑"/>
        </w:rPr>
        <w:t>• 好房量：反映小区的品质/货品力，好房标准包括精装修、好楼层、高性价比等。</w:t>
      </w:r>
    </w:p>
    <w:p>
      <w:r>
        <w:rPr>
          <w:rFonts w:ascii="微软雅黑" w:hAnsi="微软雅黑" w:eastAsia="微软雅黑"/>
        </w:rPr>
        <w:t>• 转化率：系统自动计算 = 成交量 ÷ 带看量，无需手动上传。</w:t>
      </w:r>
    </w:p>
    <w:p>
      <w:pPr>
        <w:pStyle w:val="Heading2"/>
      </w:pPr>
      <w:r>
        <w:rPr>
          <w:rFonts w:ascii="微软雅黑" w:hAnsi="微软雅黑" w:eastAsia="微软雅黑"/>
        </w:rPr>
        <w:t>2.3 数据解析规则</w:t>
      </w:r>
    </w:p>
    <w:p>
      <w:r>
        <w:rPr>
          <w:rFonts w:ascii="微软雅黑" w:hAnsi="微软雅黑" w:eastAsia="微软雅黑"/>
        </w:rPr>
        <w:t>• 支持 .xlsx 格式，自动识别 Sheet</w:t>
      </w:r>
    </w:p>
    <w:p>
      <w:r>
        <w:rPr>
          <w:rFonts w:ascii="微软雅黑" w:hAnsi="微软雅黑" w:eastAsia="微软雅黑"/>
        </w:rPr>
        <w:t>• 数值列自动清洗：去除逗号、百分号、中文单位等非数字字符</w:t>
      </w:r>
    </w:p>
    <w:p>
      <w:r>
        <w:rPr>
          <w:rFonts w:ascii="微软雅黑" w:hAnsi="微软雅黑" w:eastAsia="微软雅黑"/>
        </w:rPr>
        <w:t>• 空值、null、N/A、-- 等视为 0</w:t>
      </w:r>
    </w:p>
    <w:p>
      <w:r>
        <w:rPr>
          <w:rFonts w:ascii="微软雅黑" w:hAnsi="微软雅黑" w:eastAsia="微软雅黑"/>
        </w:rPr>
        <w:t>• 百分比格式（如 2.8%）自动转换为小数 0.028</w:t>
      </w:r>
    </w:p>
    <w:p>
      <w:r>
        <w:rPr>
          <w:rFonts w:ascii="微软雅黑" w:hAnsi="微软雅黑" w:eastAsia="微软雅黑"/>
        </w:rPr>
        <w:t>• 字段通过 guessMappings() 自动映射：在售/挂牌 → inventory，带看/流量 → traffic，成交 → transactions，好房/精品 → premium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三、分级与达标规则</w:t>
      </w:r>
    </w:p>
    <w:p>
      <w:pPr>
        <w:pStyle w:val="Heading2"/>
      </w:pPr>
      <w:r>
        <w:rPr>
          <w:rFonts w:ascii="微软雅黑" w:hAnsi="微软雅黑" w:eastAsia="微软雅黑"/>
        </w:rPr>
        <w:t>3.1 达标条件（硬门槛）</w:t>
      </w:r>
    </w:p>
    <w:p>
      <w:r>
        <w:rPr>
          <w:rFonts w:ascii="微软雅黑" w:hAnsi="微软雅黑" w:eastAsia="微软雅黑"/>
        </w:rPr>
        <w:t>小区必须同时满足以下三个硬性门槛才算“达标”，任意一项不满足则直接划入 D 级（未达标），得分置为 0：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门槛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阈值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设计理由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规模门槛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在售房源量 ≥ 20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在售太少则小区太薄弱，不适宜做开放日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好房门槛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好房量 ≥ 2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好房不足则缺乏品质支撑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成交门槛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成交量 ≥ 1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零成交小区无转化验证，风险过高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梯队分级</w:t>
      </w:r>
    </w:p>
    <w:p>
      <w:r>
        <w:rPr>
          <w:rFonts w:ascii="微软雅黑" w:hAnsi="微软雅黑" w:eastAsia="微软雅黑"/>
        </w:rPr>
        <w:t>达标小区的梯队由综合得分决定，D级为未达标：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得分范围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≥ 65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王牌 — 开放日首选投放池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A级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50 ~ 64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标杆 — 优先考虑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35 ~ 49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优质 — 值得考虑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20 ~ 34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潜力 — 可观察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&lt; 20 或未达标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不推荐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排名规则</w:t>
      </w:r>
    </w:p>
    <w:p>
      <w:r>
        <w:rPr>
          <w:rFonts w:ascii="微软雅黑" w:hAnsi="微软雅黑" w:eastAsia="微软雅黑"/>
        </w:rPr>
        <w:t>1. 达标小区（≥硬门槛）排在前面，按综合得分降序排列；</w:t>
      </w:r>
    </w:p>
    <w:p>
      <w:r>
        <w:rPr>
          <w:rFonts w:ascii="微软雅黑" w:hAnsi="微软雅黑" w:eastAsia="微软雅黑"/>
        </w:rPr>
        <w:t>2. 未达标小区排在后面，得分统一为 0；</w:t>
      </w:r>
    </w:p>
    <w:p>
      <w:r>
        <w:rPr>
          <w:rFonts w:ascii="微软雅黑" w:hAnsi="微软雅黑" w:eastAsia="微软雅黑"/>
        </w:rPr>
        <w:t>3. 同分时按原始分（rawScore）降序决定先后。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四、测算结果分析</w:t>
      </w:r>
    </w:p>
    <w:p>
      <w:pPr>
        <w:pStyle w:val="Heading2"/>
      </w:pPr>
      <w:r>
        <w:rPr>
          <w:rFonts w:ascii="微软雅黑" w:hAnsi="微软雅黑" w:eastAsia="微软雅黑"/>
        </w:rPr>
        <w:t>4.1 整体概览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总小区数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14,312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大区数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79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达标小区数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455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达标率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3.2%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S级（王牌）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362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A级（标杆）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B级（优质）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C级（潜力）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D级（未达标）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13,857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水位线策略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动态分位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测算技能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几何体量 + 商品门控 (geometric_catalyst_v2)</w:t>
            </w:r>
          </w:p>
        </w:tc>
      </w:tr>
    </w:tbl>
    <w:p/>
    <w:p>
      <w:r>
        <w:rPr>
          <w:rFonts w:ascii="微软雅黑" w:hAnsi="微软雅黑" w:eastAsia="微软雅黑"/>
        </w:rPr>
        <w:t>在上海 14,312 个小区中，仅 455 个（3.2%）同时满足规模≥20套、好房≥2套、成交≥1套的硬门槛。其中得分≥65的S级王牌共 362 个，是最适合开放日的选址目标。</w:t>
      </w:r>
    </w:p>
    <w:p>
      <w:pPr>
        <w:pStyle w:val="Heading2"/>
      </w:pPr>
      <w:r>
        <w:rPr>
          <w:rFonts w:ascii="微软雅黑" w:hAnsi="微软雅黑" w:eastAsia="微软雅黑"/>
        </w:rPr>
        <w:t>4.2 大区绩效排名</w:t>
      </w:r>
    </w:p>
    <w:p>
      <w:r>
        <w:rPr>
          <w:rFonts w:ascii="微软雅黑" w:hAnsi="微软雅黑" w:eastAsia="微软雅黑"/>
        </w:rPr>
        <w:t>79 个大区按平均综合得分排序，前15名如下：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大区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小区数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平均得分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A级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S/A合计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中环北区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14.2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顾村公园区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13.7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浦东大华区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12.2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大宁区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12.2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上大区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11.3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莘闵区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10.1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泗泾区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189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九亭区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9.1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宝山新城区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8.6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大华区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8.6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三林区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8.1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徐泾区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127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7.2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宜川区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6.8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花木区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6.7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江桥区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推荐大区及TOP3小区</w:t>
      </w:r>
    </w:p>
    <w:p>
      <w:r>
        <w:rPr>
          <w:rFonts w:ascii="微软雅黑" w:hAnsi="微软雅黑" w:eastAsia="微软雅黑"/>
        </w:rPr>
        <w:t>以下按大区均分排名，列出推荐大区及其TOP3王牌小区：</w:t>
      </w:r>
    </w:p>
    <w:p>
      <w:pPr>
        <w:pStyle w:val="Heading3"/>
      </w:pPr>
      <w:r>
        <w:rPr>
          <w:rFonts w:ascii="微软雅黑" w:hAnsi="微软雅黑" w:eastAsia="微软雅黑"/>
        </w:rPr>
        <w:t>#1 中环北区（均分14.2，17个S/A级）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共富二村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通河一村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共康五村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#2 顾村公园区（均分13.7，15个S/A级）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新天地荻泾花园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中怡家园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98.5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文宝苑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87.9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366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#3 浦东大华区（均分12.2，9个S/A级）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凯利海华府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91.1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748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大华锦绣华城(二街区)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79.3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825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0.5%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大华锦绣华城(十六街区)(公寓)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77.6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#4 大宁区（均分12.2，10个S/A级）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万荣小区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永和二村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367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粤秀名邸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92.8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423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#5 上大区（均分11.3，12个S/A级）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聚丰景都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98.9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521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经纬学府涵青花园(二期)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92.1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1.3%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乾溪新村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86.7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453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#6 莘闵区（均分10.1，9个S/A级）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海派青城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沿海丽水馨庭(别墅)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92.6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上海康城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90.4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2083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#7 泗泾区（均分10，24个S/A级）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塘和家园登云苑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98.5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406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金港花园二期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96.5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467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润江花苑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95.2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245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#8 九亭区（均分9.1，8个S/A级）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绿庭尚城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95.9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1046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奥林匹克花园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87.7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1684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贝尚湾(公寓)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85.8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847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#9 宝山新城区（均分8.6，8个S/A级）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康桥水都(公寓)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364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1.9%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杨泰二村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98.5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香逸湾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95.7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#10 大华区（均分8.6，7个S/A级）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楼盘名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综合得分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梯队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带看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成交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转化率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中环一号(一期)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558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大华颐和华城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98.5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愉景华庭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81.9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S级(王牌)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大区选择建议</w:t>
      </w:r>
    </w:p>
    <w:p>
      <w:r>
        <w:rPr>
          <w:rFonts w:ascii="微软雅黑" w:hAnsi="微软雅黑" w:eastAsia="微软雅黑"/>
        </w:rPr>
        <w:t>基于本次测算结果，建议按以下策略选择大区：</w:t>
      </w:r>
    </w:p>
    <w:p>
      <w:r>
        <w:rPr>
          <w:rFonts w:ascii="微软雅黑" w:hAnsi="微软雅黑" w:eastAsia="微软雅黑"/>
          <w:b/>
        </w:rPr>
        <w:t>策略一：重点大区（Top 5）</w:t>
      </w:r>
    </w:p>
    <w:p>
      <w:r>
        <w:rPr>
          <w:rFonts w:ascii="微软雅黑" w:hAnsi="微软雅黑" w:eastAsia="微软雅黑"/>
        </w:rPr>
        <w:t>建议优先在以下5个大区中选择开放日场地：中环北区、顾村公园区、浦东大华区、大宁区、上大区。这5个大区合计覆盖 388 个小区，其中S/A级合计 63 个，均分在 11.3 以上。</w:t>
      </w:r>
    </w:p>
    <w:p>
      <w:r>
        <w:rPr>
          <w:rFonts w:ascii="微软雅黑" w:hAnsi="微软雅黑" w:eastAsia="微软雅黑"/>
          <w:b/>
        </w:rPr>
        <w:t>策略二：S级密集区</w:t>
      </w:r>
    </w:p>
    <w:p>
      <w:r>
        <w:rPr>
          <w:rFonts w:ascii="微软雅黑" w:hAnsi="微软雅黑" w:eastAsia="微软雅黑"/>
        </w:rPr>
        <w:t>S级王牌最密集的大区：泗泾区(20个)、中环北区(15个)、顾村公园区(12个)、上大区(11个)、三林区(10个)。这些大区虽然整体均分不一定最高，但集中了最多符合开放日标准的高品质小区。</w:t>
      </w:r>
    </w:p>
    <w:p>
      <w:r>
        <w:rPr>
          <w:rFonts w:ascii="微软雅黑" w:hAnsi="微软雅黑" w:eastAsia="微软雅黑"/>
          <w:b/>
        </w:rPr>
        <w:t>策略三：S/A均衡区</w:t>
      </w:r>
    </w:p>
    <w:p>
      <w:r>
        <w:rPr>
          <w:rFonts w:ascii="微软雅黑" w:hAnsi="微软雅黑" w:eastAsia="微软雅黑"/>
        </w:rPr>
        <w:t>S/A级总数最多的大区：泗泾区(24个)、中环北区(17个)、顾村公园区(15个)、上大区(12个)、三林区(12个)。这些大区优质小区储备充足，适合大规模开放日投放。</w:t>
      </w:r>
    </w:p>
    <w:p>
      <w:pPr>
        <w:pStyle w:val="Heading2"/>
      </w:pPr>
      <w:r>
        <w:rPr>
          <w:rFonts w:ascii="微软雅黑" w:hAnsi="微软雅黑" w:eastAsia="微软雅黑"/>
        </w:rPr>
        <w:t>4.5 全量排名说明</w:t>
      </w:r>
    </w:p>
    <w:p>
      <w:r>
        <w:rPr>
          <w:rFonts w:ascii="微软雅黑" w:hAnsi="微软雅黑" w:eastAsia="微软雅黑"/>
        </w:rPr>
        <w:t>全量 14,312 个小区的排名明细已输出至配套 Excel 文件「上海小区开放日排名v1.xlsx」，包含以下三个 Sheet：</w:t>
      </w:r>
    </w:p>
    <w:p>
      <w:r>
        <w:rPr>
          <w:rFonts w:ascii="微软雅黑" w:hAnsi="微软雅黑" w:eastAsia="微软雅黑"/>
        </w:rPr>
        <w:t>• Sheet1「全量排名」：14312 行，含排名/大区/楼盘名/综合得分/梯队/达标状态/原始指标/四大指数/诊断标签</w:t>
      </w:r>
    </w:p>
    <w:p>
      <w:r>
        <w:rPr>
          <w:rFonts w:ascii="微软雅黑" w:hAnsi="微软雅黑" w:eastAsia="微软雅黑"/>
        </w:rPr>
        <w:t>• Sheet2「大区汇总」：79 个大区的均分排名及S/A级统计</w:t>
      </w:r>
    </w:p>
    <w:p>
      <w:r>
        <w:rPr>
          <w:rFonts w:ascii="微软雅黑" w:hAnsi="微软雅黑" w:eastAsia="微软雅黑"/>
        </w:rPr>
        <w:t>• Sheet3「参数配置」：测算过程中使用的全部参数及含义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附录：参数配置一览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测算技能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几何体量 + 商品门控 (geometric_catalyst_v2)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水位线策略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动态分位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规模水位线 I_cap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95百分位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流量水位线 V_cap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277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95百分位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货品水位线 H_cap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95百分位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转化水位线 R_cap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0.0119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75百分位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商品权重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0.65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互动权重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0.35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流量幂指数 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0.8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S级阈值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≥此值为王牌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A级阈值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≥此值为标杆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B级阈值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≥此值为优质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C级阈值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≥此值为潜力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规模门槛(在售)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低于此值不达标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好房门槛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低于此值不达标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成交门槛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低于此值不达标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大区数据源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Sheet1「Openday的试点大区测算数据.xlsx _ 3073009」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通过小区名称Join到Sheet2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