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宋体" w:cs="Times New Roman"/>
          <w:color w:val="262626"/>
          <w:sz w:val="24"/>
          <w:szCs w:val="24"/>
          <w14:ligatures w14:val="none"/>
        </w:rPr>
      </w:pPr>
    </w:p>
    <w:tbl>
      <w:tblPr>
        <w:tblStyle w:val="13"/>
        <w:tblpPr w:leftFromText="180" w:rightFromText="180" w:vertAnchor="page" w:horzAnchor="page" w:tblpX="1925" w:tblpY="1488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8435" w:type="dxa"/>
            <w:shd w:val="clear" w:color="auto" w:fill="FFFFFF"/>
            <w:vAlign w:val="center"/>
          </w:tcPr>
          <w:p>
            <w:pPr>
              <w:ind w:right="960" w:firstLine="442" w:firstLineChars="100"/>
              <w:jc w:val="center"/>
              <w:rPr>
                <w:rFonts w:hint="eastAsia" w:ascii="楷体" w:hAnsi="楷体" w:eastAsia="楷体" w:cs="Arial"/>
                <w:color w:val="000000"/>
                <w:sz w:val="30"/>
                <w:szCs w:val="30"/>
                <w14:ligatures w14:val="none"/>
              </w:rPr>
            </w:pPr>
            <w:r>
              <w:rPr>
                <w:rFonts w:ascii="楷体" w:hAnsi="楷体" w:eastAsia="楷体" w:cs="Times New Roman"/>
                <w:b/>
                <w:bCs/>
                <w:color w:val="000000"/>
                <w:sz w:val="44"/>
                <w:szCs w:val="44"/>
                <w14:ligatures w14:val="none"/>
              </w:rPr>
              <w:t xml:space="preserve">   2025/2026学年 第2学期 </w:t>
            </w:r>
          </w:p>
        </w:tc>
      </w:tr>
    </w:tbl>
    <w:p>
      <w:pPr>
        <w:rPr>
          <w:rFonts w:ascii="Times New Roman" w:hAnsi="Times New Roman" w:eastAsia="宋体" w:cs="Times New Roman"/>
          <w:b/>
          <w:bCs/>
          <w:sz w:val="52"/>
          <w:szCs w:val="24"/>
          <w14:ligatures w14:val="none"/>
        </w:rPr>
      </w:pPr>
    </w:p>
    <w:p>
      <w:pPr>
        <w:jc w:val="center"/>
        <w:rPr>
          <w:rFonts w:ascii="Times New Roman" w:hAnsi="Times New Roman" w:eastAsia="宋体" w:cs="Times New Roman"/>
          <w:b/>
          <w:bCs/>
          <w:sz w:val="52"/>
          <w:szCs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sz w:val="52"/>
          <w:szCs w:val="24"/>
          <w14:ligatures w14:val="none"/>
        </w:rPr>
        <w:drawing>
          <wp:inline distT="0" distB="0" distL="114300" distR="114300">
            <wp:extent cx="4248785" cy="815975"/>
            <wp:effectExtent l="0" t="0" r="0" b="3175"/>
            <wp:docPr id="1" name="图片 1" descr="南京邮电大学通达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南京邮电大学通达学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1441" cy="81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  <w:sz w:val="52"/>
          <w:szCs w:val="24"/>
          <w14:ligatures w14:val="none"/>
        </w:rPr>
      </w:pPr>
    </w:p>
    <w:p>
      <w:pPr>
        <w:spacing w:before="156" w:beforeLines="50"/>
        <w:jc w:val="center"/>
        <w:rPr>
          <w:rFonts w:hint="eastAsia" w:ascii="黑体" w:hAnsi="黑体" w:eastAsia="黑体" w:cs="Times New Roman"/>
          <w:b/>
          <w:bCs/>
          <w:sz w:val="44"/>
          <w:szCs w:val="44"/>
          <w14:ligatures w14:val="none"/>
        </w:rPr>
      </w:pPr>
      <w:r>
        <w:rPr>
          <w:rFonts w:ascii="黑体" w:hAnsi="黑体" w:eastAsia="黑体" w:cs="Times New Roman"/>
          <w:b/>
          <w:bCs/>
          <w:sz w:val="44"/>
          <w:szCs w:val="44"/>
          <w14:ligatures w14:val="none"/>
        </w:rPr>
        <w:t>《神经网络与深度学习》课后作业</w:t>
      </w:r>
    </w:p>
    <w:p>
      <w:pPr>
        <w:spacing w:before="156" w:beforeLines="50"/>
        <w:jc w:val="center"/>
        <w:rPr>
          <w:rFonts w:hint="eastAsia" w:ascii="黑体" w:hAnsi="黑体" w:eastAsia="黑体" w:cs="Times New Roman"/>
          <w:b/>
          <w:bCs/>
          <w:sz w:val="44"/>
          <w:szCs w:val="44"/>
          <w14:ligatures w14:val="none"/>
        </w:rPr>
      </w:pPr>
    </w:p>
    <w:p>
      <w:pPr>
        <w:spacing w:before="156" w:beforeLines="50"/>
        <w:jc w:val="center"/>
        <w:rPr>
          <w:rFonts w:hint="eastAsia" w:ascii="黑体" w:hAnsi="黑体" w:eastAsia="黑体" w:cs="Times New Roman"/>
          <w:b/>
          <w:bCs/>
          <w:sz w:val="44"/>
          <w:szCs w:val="44"/>
          <w14:ligatures w14:val="none"/>
        </w:rPr>
      </w:pPr>
    </w:p>
    <w:p>
      <w:pPr>
        <w:spacing w:line="760" w:lineRule="exact"/>
        <w:ind w:firstLine="1205" w:firstLineChars="400"/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</w:pPr>
      <w:r>
        <w:rPr>
          <w:rFonts w:ascii="楷体" w:hAnsi="楷体" w:eastAsia="楷体" w:cs="Times New Roman"/>
          <w:b/>
          <w:sz w:val="30"/>
          <w:szCs w:val="30"/>
          <w14:ligatures w14:val="none"/>
        </w:rPr>
        <w:t>姓    名</w:t>
      </w:r>
      <w:r>
        <w:rPr>
          <w:rFonts w:ascii="楷体" w:hAnsi="楷体" w:eastAsia="楷体" w:cs="Times New Roman"/>
          <w:b/>
          <w:bCs/>
          <w:sz w:val="30"/>
          <w:szCs w:val="30"/>
          <w14:ligatures w14:val="none"/>
        </w:rPr>
        <w:t>：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      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姚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:lang w:val="en-US" w:eastAsia="zh-CN"/>
          <w14:ligatures w14:val="none"/>
        </w:rPr>
        <w:t>嘉睿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           </w:t>
      </w:r>
    </w:p>
    <w:p>
      <w:pPr>
        <w:spacing w:line="760" w:lineRule="exact"/>
        <w:ind w:firstLine="1205" w:firstLineChars="400"/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</w:pPr>
      <w:r>
        <w:rPr>
          <w:rFonts w:ascii="楷体" w:hAnsi="楷体" w:eastAsia="楷体" w:cs="Times New Roman"/>
          <w:b/>
          <w:sz w:val="30"/>
          <w:szCs w:val="30"/>
          <w14:ligatures w14:val="none"/>
        </w:rPr>
        <w:t>学    号</w:t>
      </w:r>
      <w:r>
        <w:rPr>
          <w:rFonts w:ascii="楷体" w:hAnsi="楷体" w:eastAsia="楷体" w:cs="Times New Roman"/>
          <w:b/>
          <w:bCs/>
          <w:sz w:val="30"/>
          <w:szCs w:val="30"/>
          <w14:ligatures w14:val="none"/>
        </w:rPr>
        <w:t>：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     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  <w:t>23530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:lang w:val="en-US" w:eastAsia="zh-CN"/>
          <w14:ligatures w14:val="none"/>
        </w:rPr>
        <w:t>127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          </w:t>
      </w:r>
    </w:p>
    <w:p>
      <w:pPr>
        <w:spacing w:line="760" w:lineRule="exact"/>
        <w:ind w:firstLine="1205" w:firstLineChars="400"/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</w:pPr>
      <w:r>
        <w:rPr>
          <w:rFonts w:ascii="楷体" w:hAnsi="楷体" w:eastAsia="楷体" w:cs="Times New Roman"/>
          <w:b/>
          <w:bCs/>
          <w:sz w:val="30"/>
          <w:szCs w:val="30"/>
          <w14:ligatures w14:val="none"/>
        </w:rPr>
        <w:t>班 级 号：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     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  <w:t>23530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:lang w:val="en-US" w:eastAsia="zh-CN"/>
          <w14:ligatures w14:val="none"/>
        </w:rPr>
        <w:t>1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           </w:t>
      </w:r>
    </w:p>
    <w:p>
      <w:pPr>
        <w:spacing w:line="760" w:lineRule="exact"/>
        <w:ind w:firstLine="1205" w:firstLineChars="400"/>
        <w:rPr>
          <w:rFonts w:hint="eastAsia" w:ascii="楷体" w:hAnsi="楷体" w:eastAsia="楷体" w:cs="Times New Roman"/>
          <w:b/>
          <w:sz w:val="30"/>
          <w:szCs w:val="30"/>
          <w14:ligatures w14:val="none"/>
        </w:rPr>
      </w:pPr>
      <w:r>
        <w:rPr>
          <w:rFonts w:ascii="楷体" w:hAnsi="楷体" w:eastAsia="楷体" w:cs="Times New Roman"/>
          <w:b/>
          <w:sz w:val="30"/>
          <w:szCs w:val="30"/>
          <w14:ligatures w14:val="none"/>
        </w:rPr>
        <w:t>专    业</w:t>
      </w:r>
      <w:r>
        <w:rPr>
          <w:rFonts w:ascii="楷体" w:hAnsi="楷体" w:eastAsia="楷体" w:cs="Times New Roman"/>
          <w:b/>
          <w:bCs/>
          <w:sz w:val="30"/>
          <w:szCs w:val="30"/>
          <w14:ligatures w14:val="none"/>
        </w:rPr>
        <w:t>：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    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  <w:t>大数据管理与应用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</w:t>
      </w:r>
    </w:p>
    <w:p>
      <w:pPr>
        <w:spacing w:line="760" w:lineRule="exact"/>
        <w:ind w:firstLine="1205" w:firstLineChars="400"/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</w:pPr>
      <w:r>
        <w:rPr>
          <w:rFonts w:ascii="楷体" w:hAnsi="楷体" w:eastAsia="楷体" w:cs="Times New Roman"/>
          <w:b/>
          <w:sz w:val="30"/>
          <w:szCs w:val="30"/>
          <w14:ligatures w14:val="none"/>
        </w:rPr>
        <w:t>教    师</w:t>
      </w:r>
      <w:r>
        <w:rPr>
          <w:rFonts w:ascii="楷体" w:hAnsi="楷体" w:eastAsia="楷体" w:cs="Times New Roman"/>
          <w:b/>
          <w:bCs/>
          <w:sz w:val="30"/>
          <w:szCs w:val="30"/>
          <w14:ligatures w14:val="none"/>
        </w:rPr>
        <w:t>：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    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</w:t>
      </w:r>
      <w:r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  <w:t>王善高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           </w:t>
      </w:r>
    </w:p>
    <w:p>
      <w:pPr>
        <w:spacing w:line="760" w:lineRule="exact"/>
        <w:ind w:firstLine="1205" w:firstLineChars="400"/>
        <w:rPr>
          <w:rFonts w:hint="eastAsia" w:ascii="楷体" w:hAnsi="楷体" w:eastAsia="楷体" w:cs="Times New Roman"/>
          <w:b/>
          <w:bCs/>
          <w:sz w:val="30"/>
          <w:szCs w:val="30"/>
          <w:u w:val="single"/>
          <w14:ligatures w14:val="none"/>
        </w:rPr>
      </w:pPr>
      <w:r>
        <w:rPr>
          <w:rFonts w:ascii="楷体" w:hAnsi="楷体" w:eastAsia="楷体" w:cs="Times New Roman"/>
          <w:b/>
          <w:bCs/>
          <w:sz w:val="30"/>
          <w:szCs w:val="30"/>
          <w14:ligatures w14:val="none"/>
        </w:rPr>
        <w:t>成    绩：</w:t>
      </w:r>
      <w:r>
        <w:rPr>
          <w:rFonts w:ascii="楷体" w:hAnsi="楷体" w:eastAsia="楷体" w:cs="Times New Roman"/>
          <w:b/>
          <w:bCs/>
          <w:sz w:val="30"/>
          <w:szCs w:val="30"/>
          <w:u w:val="single"/>
          <w14:ligatures w14:val="none"/>
        </w:rPr>
        <w:t xml:space="preserve">                               </w:t>
      </w:r>
    </w:p>
    <w:p>
      <w:pPr>
        <w:rPr>
          <w:rFonts w:ascii="Times New Roman" w:hAnsi="Times New Roman" w:eastAsia="宋体" w:cs="Times New Roman"/>
          <w:szCs w:val="24"/>
          <w14:ligatures w14:val="none"/>
        </w:rPr>
      </w:pPr>
    </w:p>
    <w:p>
      <w:pPr>
        <w:rPr>
          <w:rFonts w:ascii="Times New Roman" w:hAnsi="Times New Roman" w:eastAsia="宋体" w:cs="Times New Roman"/>
          <w:szCs w:val="24"/>
          <w14:ligatures w14:val="none"/>
        </w:rPr>
      </w:pPr>
    </w:p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53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  <w:jc w:val="center"/>
        </w:trPr>
        <w:tc>
          <w:tcPr>
            <w:tcW w:w="438" w:type="dxa"/>
            <w:vAlign w:val="bottom"/>
          </w:tcPr>
          <w:p>
            <w:pPr>
              <w:ind w:right="-105" w:rightChars="-50"/>
              <w:rPr>
                <w:rFonts w:hint="eastAsia" w:ascii="楷体" w:hAnsi="楷体" w:eastAsia="楷体" w:cs="Arial"/>
                <w:sz w:val="30"/>
                <w:szCs w:val="30"/>
                <w14:ligatures w14:val="none"/>
              </w:rPr>
            </w:pPr>
          </w:p>
        </w:tc>
        <w:tc>
          <w:tcPr>
            <w:tcW w:w="532" w:type="dxa"/>
            <w:vAlign w:val="bottom"/>
          </w:tcPr>
          <w:p>
            <w:pPr>
              <w:ind w:right="-105" w:rightChars="-50"/>
              <w:rPr>
                <w:rFonts w:hint="eastAsia" w:ascii="楷体" w:hAnsi="楷体" w:eastAsia="楷体" w:cs="Times New Roman"/>
                <w:sz w:val="30"/>
                <w:szCs w:val="30"/>
                <w14:ligatures w14:val="none"/>
              </w:rPr>
            </w:pPr>
          </w:p>
        </w:tc>
      </w:tr>
    </w:tbl>
    <w:p>
      <w:pPr>
        <w:tabs>
          <w:tab w:val="left" w:pos="6870"/>
        </w:tabs>
        <w:jc w:val="center"/>
        <w:rPr>
          <w:rFonts w:hint="eastAsia"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南京邮电大学通达学院</w:t>
      </w:r>
    </w:p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438"/>
        <w:gridCol w:w="566"/>
        <w:gridCol w:w="4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  <w:jc w:val="center"/>
        </w:trPr>
        <w:tc>
          <w:tcPr>
            <w:tcW w:w="937" w:type="dxa"/>
            <w:vAlign w:val="bottom"/>
          </w:tcPr>
          <w:p>
            <w:pPr>
              <w:ind w:right="-105" w:rightChars="-50"/>
              <w:jc w:val="center"/>
              <w:rPr>
                <w:rFonts w:hint="eastAsia" w:ascii="楷体" w:hAnsi="楷体" w:eastAsia="楷体" w:cs="Arial"/>
                <w:sz w:val="30"/>
                <w:szCs w:val="30"/>
                <w14:ligatures w14:val="none"/>
              </w:rPr>
            </w:pPr>
            <w:r>
              <w:rPr>
                <w:rFonts w:ascii="楷体" w:hAnsi="楷体" w:eastAsia="楷体" w:cs="Arial"/>
                <w:sz w:val="30"/>
                <w:szCs w:val="30"/>
                <w14:ligatures w14:val="none"/>
              </w:rPr>
              <w:t>2026</w:t>
            </w:r>
          </w:p>
        </w:tc>
        <w:tc>
          <w:tcPr>
            <w:tcW w:w="438" w:type="dxa"/>
            <w:vAlign w:val="bottom"/>
          </w:tcPr>
          <w:p>
            <w:pPr>
              <w:ind w:left="-105" w:leftChars="-50" w:right="-105" w:rightChars="-50"/>
              <w:jc w:val="center"/>
              <w:rPr>
                <w:rFonts w:hint="eastAsia" w:ascii="楷体" w:hAnsi="楷体" w:eastAsia="楷体" w:cs="Times New Roman"/>
                <w:sz w:val="30"/>
                <w:szCs w:val="30"/>
                <w14:ligatures w14:val="none"/>
              </w:rPr>
            </w:pPr>
            <w:r>
              <w:rPr>
                <w:rFonts w:ascii="楷体" w:hAnsi="楷体" w:eastAsia="楷体" w:cs="Times New Roman"/>
                <w:sz w:val="30"/>
                <w:szCs w:val="30"/>
                <w14:ligatures w14:val="none"/>
              </w:rPr>
              <w:t>年</w:t>
            </w:r>
          </w:p>
        </w:tc>
        <w:tc>
          <w:tcPr>
            <w:tcW w:w="566" w:type="dxa"/>
            <w:vAlign w:val="bottom"/>
          </w:tcPr>
          <w:p>
            <w:pPr>
              <w:ind w:right="-105" w:rightChars="-50"/>
              <w:jc w:val="center"/>
              <w:rPr>
                <w:rFonts w:hint="eastAsia" w:ascii="楷体" w:hAnsi="楷体" w:eastAsia="楷体" w:cs="Arial"/>
                <w:sz w:val="30"/>
                <w:szCs w:val="30"/>
                <w14:ligatures w14:val="none"/>
              </w:rPr>
            </w:pPr>
            <w:r>
              <w:rPr>
                <w:rFonts w:ascii="楷体" w:hAnsi="楷体" w:eastAsia="楷体" w:cs="Arial"/>
                <w:sz w:val="30"/>
                <w:szCs w:val="30"/>
                <w14:ligatures w14:val="none"/>
              </w:rPr>
              <w:t>5</w:t>
            </w:r>
          </w:p>
        </w:tc>
        <w:tc>
          <w:tcPr>
            <w:tcW w:w="496" w:type="dxa"/>
            <w:vAlign w:val="bottom"/>
          </w:tcPr>
          <w:p>
            <w:pPr>
              <w:ind w:left="-105" w:leftChars="-50" w:right="-105" w:rightChars="-50"/>
              <w:jc w:val="center"/>
              <w:rPr>
                <w:rFonts w:hint="eastAsia" w:ascii="楷体" w:hAnsi="楷体" w:eastAsia="楷体" w:cs="Times New Roman"/>
                <w:sz w:val="30"/>
                <w:szCs w:val="30"/>
                <w14:ligatures w14:val="none"/>
              </w:rPr>
            </w:pPr>
            <w:r>
              <w:rPr>
                <w:rFonts w:ascii="楷体" w:hAnsi="楷体" w:eastAsia="楷体" w:cs="Times New Roman"/>
                <w:sz w:val="30"/>
                <w:szCs w:val="30"/>
                <w14:ligatures w14:val="none"/>
              </w:rPr>
              <w:t>月</w:t>
            </w:r>
          </w:p>
        </w:tc>
      </w:tr>
    </w:tbl>
    <w:p>
      <w:pPr>
        <w:widowControl/>
        <w:jc w:val="left"/>
        <w:rPr>
          <w:rFonts w:ascii="黑体" w:hAnsi="Times New Roman" w:eastAsia="黑体" w:cs="Times New Roman"/>
          <w:b/>
          <w:sz w:val="36"/>
          <w:szCs w:val="36"/>
          <w14:ligatures w14:val="none"/>
        </w:rPr>
      </w:pPr>
      <w:r>
        <w:rPr>
          <w:rFonts w:ascii="黑体" w:hAnsi="Times New Roman" w:eastAsia="黑体" w:cs="Times New Roman"/>
          <w:b/>
          <w:sz w:val="36"/>
          <w:szCs w:val="36"/>
          <w14:ligatures w14:val="none"/>
        </w:rPr>
        <w:br w:type="page"/>
      </w:r>
    </w:p>
    <w:p>
      <w:pPr>
        <w:rPr>
          <w:rFonts w:hint="eastAsia" w:ascii="宋体" w:hAnsi="宋体" w:eastAsia="宋体" w:cs="宋体"/>
          <w:b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b/>
          <w:kern w:val="0"/>
          <w:sz w:val="24"/>
          <w:szCs w:val="24"/>
          <w14:ligatures w14:val="none"/>
        </w:rPr>
        <w:t>作业正文：</w:t>
      </w:r>
    </w:p>
    <w:p>
      <w:pPr>
        <w:jc w:val="center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基于 ARIMA 模型城乡人均粮食消费量预测实验报告</w:t>
      </w:r>
    </w:p>
    <w:p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一、平稳性检验（ADF 单位根检验）</w:t>
      </w:r>
    </w:p>
    <w:p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1、检验目的</w:t>
      </w:r>
    </w:p>
    <w:p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通过 ADF 单位根检验判断城镇、农村居民人均粮食消费量序列平稳性，确定 ARIMA 模型差分阶数d。</w:t>
      </w:r>
    </w:p>
    <w:p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2、检验方法</w:t>
      </w:r>
    </w:p>
    <w:p>
      <w:p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ADF 单位根检验，原假设H_0：序列含单位根、非平稳；备择假设\(H_1\)：无单位根、序列平稳。显性水平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a&lt;=0.5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，P&lt;0.05拒绝原假设序列平稳；反之需要差分处理。</w:t>
      </w:r>
    </w:p>
    <w:p>
      <w:pPr>
        <w:numPr>
          <w:ilvl w:val="0"/>
          <w:numId w:val="1"/>
        </w:num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Stata 指令与原始数据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1713865" cy="2286000"/>
            <wp:effectExtent l="0" t="0" r="825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721735" cy="3508375"/>
            <wp:effectExtent l="0" t="0" r="1206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177540" cy="4498340"/>
            <wp:effectExtent l="0" t="0" r="7620" b="1270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4、检验结果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（1）原序列 ADF 检验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（2）一阶差分 D.city、D.rural 检验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44440" cy="1524000"/>
            <wp:effectExtent l="0" t="0" r="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（3）二阶差分 D2.city、D2.rural 检验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原序列、一阶差分在 5% 显著性水平下全部非平稳；二阶差分序列 5% 显著性未达标、10% 显著性水平平稳。受限于样本只有 12 期观测，继续高阶差分严重损耗有效样本数据，因此确定采用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d=2</w:t>
      </w:r>
      <w:r>
        <w:rPr>
          <w:rFonts w:hint="eastAsia" w:ascii="宋体" w:hAnsi="宋体" w:eastAsia="宋体" w:cs="宋体"/>
          <w:sz w:val="24"/>
          <w:szCs w:val="24"/>
        </w:rPr>
        <w:t>，基于二阶差分构建 ARIMA 模型，依靠后续残差白噪声检验判定模型有效性。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检验汇总结论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135880" cy="1760220"/>
            <wp:effectExtent l="0" t="0" r="0" b="762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二、模型阶数识别（ACF、PACF 定阶）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1、分析目的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借助自相关 ACF、偏自相关 PACF 图形，确定 AR 项阶数p、MA 项阶数q。</w:t>
      </w:r>
    </w:p>
    <w:p>
      <w:pPr>
        <w:numPr>
          <w:ilvl w:val="0"/>
          <w:numId w:val="2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Stata 指令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00625" cy="2684145"/>
            <wp:effectExtent l="0" t="0" r="13335" b="133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3621405"/>
            <wp:effectExtent l="0" t="0" r="0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4785" cy="2744470"/>
            <wp:effectExtent l="0" t="0" r="8255" b="139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3、城镇居民序列定阶结果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ACF 滞后 1 阶显著、2 阶快速落入置信区间（1 阶截尾），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q=1</w:t>
      </w:r>
      <w:r>
        <w:rPr>
          <w:rFonts w:hint="eastAsia" w:ascii="宋体" w:hAnsi="宋体" w:eastAsia="宋体" w:cs="宋体"/>
          <w:sz w:val="24"/>
          <w:szCs w:val="24"/>
        </w:rPr>
        <w:t>；PACF 滞后 1 阶显著、滞后 2 阶快速收敛（1 阶截尾），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p=1</w:t>
      </w:r>
      <w:r>
        <w:rPr>
          <w:rFonts w:hint="eastAsia" w:ascii="宋体" w:hAnsi="宋体" w:eastAsia="宋体" w:cs="宋体"/>
          <w:sz w:val="24"/>
          <w:szCs w:val="24"/>
        </w:rPr>
        <w:t>，城镇：ARIMA (1,2,1)。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4、农村居民序列定阶结果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ACF1 阶截尾，q=1；PACF1 阶截尾，p=1，农村：ARIMA (1,2,1)。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5、corrgram 数值参考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城镇 D2.city：lag1 AC=-0.4762，PAC=-0.4791；农村 D2.rural：lag1 AC=-0.5397，PAC=-0.5412；滞后 2 阶相关系数迅速趋近于 0，佐证\(p=1、q=1\)。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三、ARIMA 参数建模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1、Stata 建模指令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741420" cy="960120"/>
            <wp:effectExtent l="0" t="0" r="762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2、参数结果解读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（1）城镇 ARIMA (1,2,1)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937760" cy="3581400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农村 ARIMA (1,2,1)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7960" cy="3067685"/>
            <wp:effectExtent l="0" t="0" r="5080" b="1079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3、参数不显著说明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样本仅 12 个年度数据，小样本时序建模普遍出现系数显著性不足；模型阶数由平稳性 + ACF/PACF 严格确定，模型设定无误，保留原模型继续残差检验与预测。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四、残差白噪声检验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1、检验原理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原假设：残差序列为白噪声（模型已提取全部有效信息）；a=0.05，P&gt;0.05接受原假设，模型有效。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Stata 指令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1943100" cy="419100"/>
            <wp:effectExtent l="0" t="0" r="762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3、结果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城镇残差：Q=0.3216，P=0.8512&gt;0.05，残差白噪声，模型合格；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农村残差：Q=0.5137，P=0.7735&gt;0.05，残差白噪声，模型合格。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1744345"/>
            <wp:effectExtent l="0" t="0" r="3175" b="825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五、2025-2030 年外推预测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1、Stata 预测代码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901440" cy="982980"/>
            <wp:effectExtent l="0" t="0" r="0" b="762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1915160"/>
            <wp:effectExtent l="0" t="0" r="63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3、趋势分析</w:t>
      </w:r>
    </w:p>
    <w:p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未来六年城镇人均粮食消费量稳定在 109.5~110kg 区间小幅震荡；农村消费量收敛至 157kg 附近缓慢微降，和 2013-2024 历史波动规律匹配；农村口粮消费常年高于城镇，城乡消费差距缓慢收窄，源于居民饮食多样化、副食占比提升、主食口粮逐年减量。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六、实验结论与模型局限性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1、研究结论</w:t>
      </w:r>
    </w:p>
    <w:p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 ARIMA (1,2,1) 模型预测，2025-2030 年我国城镇、农村居民人均粮食消费量整体保持平稳小幅回落态势，口粮需求稳步走低，城乡粮食消费差距缓慢缩小，符合国内膳食结构升级的现实特征。模型通过残差白噪声检验，拟合有效，短期预测结果具备参考价值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2、模型局限性</w:t>
      </w:r>
    </w:p>
    <w:p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样本偏少：仅 12 期年度时序数据，小样本造成模型参数显著性较差，远期预测误差会逐步累积；</w:t>
      </w:r>
    </w:p>
    <w:p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单变量缺陷：ARIMA 仅依靠消费量自身时序规律建模，未引入人均收入、城镇化率、食品结构、物价等外生变量；</w:t>
      </w:r>
    </w:p>
    <w:p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无法应对突发冲击：模型依托历史趋势外推，不能覆盖极端天气、粮食政策调整、重大公共事件等突发因素带来的消费异动；</w:t>
      </w:r>
    </w:p>
    <w:p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适用期限有限：ARIMA 仅适配中短期预测，2030 年之后长期预测可信度下降。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136900" cy="2239010"/>
            <wp:effectExtent l="0" t="0" r="2540" b="1270"/>
            <wp:docPr id="11" name="图片 11" descr="农村ARIMA预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农村ARIMA预测结果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554095" cy="2536825"/>
            <wp:effectExtent l="0" t="0" r="12065" b="8255"/>
            <wp:docPr id="16" name="图片 16" descr="城镇ARIMA预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城镇ARIMA预测结果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clear all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capture drop _all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input year city rural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2013 121.33 179.51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2014 117.18 167.65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2015 112.61 159.51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2016 111.94 157.24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2017 109.75 155.64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2018 109.97 148.53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2019 110.61 157.79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2020 120.18 168.36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2021 124.78 170.78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2022 116.18 164.55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2023 115.58 159.83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2024 106.72 158.63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end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*定义年度时间序列（ARIMA必备）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tsset year, yearly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*保存原始数据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save grain_data.dta, replace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*=========================2.城镇居民city序列：ADF平稳+ACF/PACF定阶+ARIMA建模+残差检验=========================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*ADF单位根检验：原序列&amp;一阶差分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"=====城镇city原序列ADF检验====="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dfuller city, lags(1) trend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"=====城镇city一阶差分D.city ADF检验====="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dfuller D.city, lags(1) trend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*自相关、偏自相关图（定p,q阶数）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"=====城镇city原序列ACF、PACF====="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ac city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pac city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"=====城镇一阶差分D.city ACF、PACF====="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ac D.city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pac D.city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*拟合最优ARIMA(1,1,1)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arima city, arima(1,1,1)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*提取模型残差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predict e_city, resid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*残差白噪声检验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"=====城镇模型残差白噪声检验====="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wntestq e_city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*=========================3.农村居民rural序列：ADF平稳+ACF/PACF定阶+ARIMA建模+残差检验=========================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"=====农村rural原序列ADF检验====="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dfuller rural, lags(1) trend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"=====农村rural一阶差分D.rural ADF检验====="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dfuller D.rural, lags(1) trend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"=====农村rural原序列ACF、PACF====="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ac rural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pac rural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"=====农村一阶差分D.rural ACF、PACF====="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ac D.rural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pac D.rural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*拟合ARIMA(1,1,1)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arima rural, arima(1,1,1)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predict e_rural, resid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"=====农村模型残差白噪声检验====="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wntestq e_rural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2025~2030=========================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*向后新增6年空白年份（2025-2030）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tsappend, add(6)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*城镇动态预测，2025起外推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predict city_fore, dynamic(2025)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*农村动态预测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predict rural_fore, dynamic(2025)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*=========================4.扩充数据至2030年+预测*=========================5.输出最终预测结果（2024实际+2025-2030预测）=========================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disp "====================2024实际、2025-2030城乡粮食消费量预测结果===================="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list year city city_fore rural rural_fore if year&gt;=2024, clean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5BE8B30-9FA5-4EDF-84D1-4CB6C8AA054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E9FEE36-3BE7-4FD0-B05D-0D2B51C0235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C09B7288-8E61-482A-8789-CE64432E860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CD8FC93"/>
    <w:multiLevelType w:val="singleLevel"/>
    <w:tmpl w:val="9CD8FC93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BA09EE0D"/>
    <w:multiLevelType w:val="singleLevel"/>
    <w:tmpl w:val="BA09EE0D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25905F6"/>
    <w:multiLevelType w:val="singleLevel"/>
    <w:tmpl w:val="625905F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BE8"/>
    <w:rsid w:val="000155FC"/>
    <w:rsid w:val="00023334"/>
    <w:rsid w:val="0004121D"/>
    <w:rsid w:val="000A2B05"/>
    <w:rsid w:val="001008D8"/>
    <w:rsid w:val="001059E1"/>
    <w:rsid w:val="0017146A"/>
    <w:rsid w:val="00172E0D"/>
    <w:rsid w:val="00181FEF"/>
    <w:rsid w:val="002248EA"/>
    <w:rsid w:val="00244BE8"/>
    <w:rsid w:val="002545AD"/>
    <w:rsid w:val="002759F9"/>
    <w:rsid w:val="002F4A72"/>
    <w:rsid w:val="00355F86"/>
    <w:rsid w:val="00392F47"/>
    <w:rsid w:val="00443741"/>
    <w:rsid w:val="004B3102"/>
    <w:rsid w:val="004B47E8"/>
    <w:rsid w:val="004F5F06"/>
    <w:rsid w:val="00512D32"/>
    <w:rsid w:val="00566D75"/>
    <w:rsid w:val="00616614"/>
    <w:rsid w:val="006A178D"/>
    <w:rsid w:val="006E2F63"/>
    <w:rsid w:val="006F0AAE"/>
    <w:rsid w:val="006F5936"/>
    <w:rsid w:val="00740A99"/>
    <w:rsid w:val="00777C05"/>
    <w:rsid w:val="00777EE8"/>
    <w:rsid w:val="00781A7B"/>
    <w:rsid w:val="007C6F9D"/>
    <w:rsid w:val="008A7C65"/>
    <w:rsid w:val="008B0B63"/>
    <w:rsid w:val="008C54EC"/>
    <w:rsid w:val="00974348"/>
    <w:rsid w:val="009E0399"/>
    <w:rsid w:val="009E4B13"/>
    <w:rsid w:val="009E5C54"/>
    <w:rsid w:val="00A754F8"/>
    <w:rsid w:val="00AB5C5C"/>
    <w:rsid w:val="00B1028E"/>
    <w:rsid w:val="00B1113A"/>
    <w:rsid w:val="00B22448"/>
    <w:rsid w:val="00B4040A"/>
    <w:rsid w:val="00B95868"/>
    <w:rsid w:val="00BD2BC5"/>
    <w:rsid w:val="00CC25AC"/>
    <w:rsid w:val="00D214E6"/>
    <w:rsid w:val="00DC0304"/>
    <w:rsid w:val="00E73838"/>
    <w:rsid w:val="00E760ED"/>
    <w:rsid w:val="00E770CD"/>
    <w:rsid w:val="00F223F6"/>
    <w:rsid w:val="00F22E1E"/>
    <w:rsid w:val="00FE7EAB"/>
    <w:rsid w:val="0643163A"/>
    <w:rsid w:val="12B2659A"/>
    <w:rsid w:val="13BF17A5"/>
    <w:rsid w:val="13F4063B"/>
    <w:rsid w:val="23077AD3"/>
    <w:rsid w:val="25967B38"/>
    <w:rsid w:val="2B5C6AC0"/>
    <w:rsid w:val="31E44720"/>
    <w:rsid w:val="325C04F1"/>
    <w:rsid w:val="34A86608"/>
    <w:rsid w:val="34F02A71"/>
    <w:rsid w:val="39FD54AD"/>
    <w:rsid w:val="414C272D"/>
    <w:rsid w:val="421D6ACE"/>
    <w:rsid w:val="458E2F7F"/>
    <w:rsid w:val="49E358F3"/>
    <w:rsid w:val="55496671"/>
    <w:rsid w:val="5CA862EF"/>
    <w:rsid w:val="5EA67F60"/>
    <w:rsid w:val="6CCB21E3"/>
    <w:rsid w:val="6FEC7179"/>
    <w:rsid w:val="70B22A5F"/>
    <w:rsid w:val="71E200E4"/>
    <w:rsid w:val="73963978"/>
    <w:rsid w:val="7D59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Grid Table Light"/>
    <w:basedOn w:val="13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6">
    <w:name w:val="Grid Table 4"/>
    <w:basedOn w:val="13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">
    <w:name w:val="Grid Table 2"/>
    <w:basedOn w:val="13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8">
    <w:name w:val="Grid Table 1 Light"/>
    <w:basedOn w:val="13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39">
    <w:name w:val="Placeholder Text"/>
    <w:basedOn w:val="15"/>
    <w:semiHidden/>
    <w:qFormat/>
    <w:uiPriority w:val="99"/>
    <w:rPr>
      <w:color w:val="666666"/>
    </w:rPr>
  </w:style>
  <w:style w:type="table" w:customStyle="1" w:styleId="40">
    <w:name w:val="Grid Table 1 Light Accent 6"/>
    <w:basedOn w:val="13"/>
    <w:qFormat/>
    <w:uiPriority w:val="46"/>
    <w:tblPr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8ED873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8E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871</Words>
  <Characters>4970</Characters>
  <Lines>41</Lines>
  <Paragraphs>11</Paragraphs>
  <TotalTime>0</TotalTime>
  <ScaleCrop>false</ScaleCrop>
  <LinksUpToDate>false</LinksUpToDate>
  <CharactersWithSpaces>5830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2026-05-29T10:49:00Z</dcterms:created>
  <dc:creator>彦凯 姚</dc:creator>
  <cp:lastModifiedBy>姚嘉睿</cp:lastModifiedBy>
  <dcterms:modified xsi:type="dcterms:W3CDTF">2026-06-24T13:30:01Z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