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T2Sem-DRL Advisor Presentation Pack</w:t>
      </w:r>
    </w:p>
    <w:p>
      <w:pPr>
        <w:jc w:val="center"/>
      </w:pPr>
      <w:r>
        <w:rPr>
          <w:rFonts w:ascii="Times New Roman" w:hAnsi="Times New Roman"/>
          <w:b w:val="0"/>
          <w:sz w:val="22"/>
        </w:rPr>
        <w:t>Jiashang Shen | Wenzhou Kean University | Jul 6, 2026</w:t>
      </w:r>
    </w:p>
    <w:p>
      <w:r>
        <w:rPr>
          <w:rFonts w:ascii="Times New Roman" w:hAnsi="Times New Roman"/>
          <w:b w:val="0"/>
          <w:sz w:val="22"/>
        </w:rPr>
        <w:t>Paper version: v4.3 Major Revision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Folder structure</w:t>
      </w:r>
    </w:p>
    <w:p>
      <w:r>
        <w:rPr>
          <w:rFonts w:ascii="Times New Roman" w:hAnsi="Times New Roman"/>
          <w:b w:val="0"/>
          <w:sz w:val="22"/>
        </w:rPr>
        <w:t>1. 01_Presentation_Brief.docx — 5-minute overview: problem, method, results, contribution hierarchy</w:t>
      </w:r>
    </w:p>
    <w:p>
      <w:r>
        <w:rPr>
          <w:rFonts w:ascii="Times New Roman" w:hAnsi="Times New Roman"/>
          <w:b w:val="0"/>
          <w:sz w:val="22"/>
        </w:rPr>
        <w:t>2. 02_Final_Manuscript/ — IEEE-format Word manuscript (8 figures, 11 tables, native equations)</w:t>
      </w:r>
    </w:p>
    <w:p>
      <w:r>
        <w:rPr>
          <w:rFonts w:ascii="Times New Roman" w:hAnsi="Times New Roman"/>
          <w:b w:val="0"/>
          <w:sz w:val="22"/>
        </w:rPr>
        <w:t>3. 03_Figures/ — Publication figures Fig.1–Fig.8 (PNG)</w:t>
      </w:r>
    </w:p>
    <w:p>
      <w:r>
        <w:rPr>
          <w:rFonts w:ascii="Times New Roman" w:hAnsi="Times New Roman"/>
          <w:b w:val="0"/>
          <w:sz w:val="22"/>
        </w:rPr>
        <w:t>4. 04_Experiment_Data/ — Main and ablation CSV summaries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One-sentence summary</w:t>
      </w:r>
    </w:p>
    <w:p>
      <w:r>
        <w:rPr>
          <w:rFonts w:ascii="Times New Roman" w:hAnsi="Times New Roman"/>
          <w:b w:val="0"/>
          <w:sz w:val="22"/>
        </w:rPr>
        <w:t>In hierarchical UAV–HAP semantic MEC, model-informed feasibility projection and semantic modeling dominate SLA gains; RL refines routing within the feasible shell (+6.2 pp), while per-tier CMDP mainly supports tier-allocation diagnostics.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Key numbers</w:t>
      </w:r>
    </w:p>
    <w:p>
      <w:r>
        <w:rPr>
          <w:rFonts w:ascii="Times New Roman" w:hAnsi="Times New Roman"/>
          <w:b w:val="0"/>
          <w:sz w:val="22"/>
        </w:rPr>
        <w:t>• Overall SLA (T2Sem-DRL): 93.99 ± 1.74%</w:t>
      </w:r>
    </w:p>
    <w:p>
      <w:r>
        <w:rPr>
          <w:rFonts w:ascii="Times New Roman" w:hAnsi="Times New Roman"/>
          <w:b w:val="0"/>
          <w:sz w:val="22"/>
        </w:rPr>
        <w:t>• vs. Masked Greedy: +6.22 pp | vs. TJCCT-Lite: +7.35 pp</w:t>
      </w:r>
    </w:p>
    <w:p>
      <w:r>
        <w:rPr>
          <w:rFonts w:ascii="Times New Roman" w:hAnsi="Times New Roman"/>
          <w:b w:val="0"/>
          <w:sz w:val="22"/>
        </w:rPr>
        <w:t>• Semantic modeling (ablation): +46.0 pp</w:t>
      </w:r>
    </w:p>
    <w:p>
      <w:r>
        <w:rPr>
          <w:rFonts w:ascii="Times New Roman" w:hAnsi="Times New Roman"/>
          <w:b w:val="0"/>
          <w:sz w:val="22"/>
        </w:rPr>
        <w:t>• Feasibility mask (ablation): +31.8 pp</w:t>
      </w:r>
    </w:p>
    <w:p>
      <w:r>
        <w:rPr>
          <w:rFonts w:ascii="Times New Roman" w:hAnsi="Times New Roman"/>
          <w:b w:val="0"/>
          <w:sz w:val="22"/>
        </w:rPr>
        <w:t>• RL over masked greedy: +6.2 pp</w:t>
      </w:r>
    </w:p>
    <w:p>
      <w:r>
        <w:rPr>
          <w:rFonts w:ascii="Times New Roman" w:hAnsi="Times New Roman"/>
          <w:b w:val="0"/>
          <w:sz w:val="22"/>
        </w:rPr>
        <w:t>• Mean delay: 0.100 s</w:t>
      </w:r>
    </w:p>
    <w:p>
      <w:r>
        <w:rPr>
          <w:rFonts w:ascii="Times New Roman" w:hAnsi="Times New Roman"/>
          <w:b w:val="0"/>
          <w:sz w:val="22"/>
        </w:rPr>
        <w:t>• Mobility-critical stress test: 16.4% vs. 1.7% (Table VI)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Contribution hierarchy</w:t>
      </w:r>
    </w:p>
    <w:p>
      <w:r>
        <w:rPr>
          <w:rFonts w:ascii="Times New Roman" w:hAnsi="Times New Roman"/>
          <w:b w:val="0"/>
          <w:sz w:val="22"/>
        </w:rPr>
        <w:t>semantic (+46.0 pp) &gt; mask (+31.8 pp) &gt; RL over masked greedy (+6.2 pp)</w:t>
      </w:r>
    </w:p>
    <w:p>
      <w:r>
        <w:rPr>
          <w:rFonts w:ascii="Times New Roman" w:hAnsi="Times New Roman"/>
          <w:b w:val="0"/>
          <w:sz w:val="22"/>
        </w:rPr>
        <w:t>Per-tier λ_κ changes tier allocation rather than aggregate SLA (Table II).</w:t>
      </w:r>
    </w:p>
    <w:p>
      <w:r>
        <w:rPr>
          <w:rFonts w:ascii="Times New Roman" w:hAnsi="Times New Roman"/>
          <w:b w:val="0"/>
          <w:sz w:val="22"/>
        </w:rPr>
      </w:r>
    </w:p>
    <w:p>
      <w:r>
        <w:rPr>
          <w:rFonts w:ascii="Times New Roman" w:hAnsi="Times New Roman"/>
          <w:b/>
          <w:sz w:val="22"/>
        </w:rPr>
        <w:t>Discussion topics (optional)</w:t>
      </w:r>
    </w:p>
    <w:p>
      <w:r>
        <w:rPr>
          <w:rFonts w:ascii="Times New Roman" w:hAnsi="Times New Roman"/>
          <w:b w:val="0"/>
          <w:sz w:val="22"/>
        </w:rPr>
        <w:t>• Critical-tier SLA (76%) — need stronger experiments or narrative?</w:t>
      </w:r>
    </w:p>
    <w:p>
      <w:r>
        <w:rPr>
          <w:rFonts w:ascii="Times New Roman" w:hAnsi="Times New Roman"/>
          <w:b w:val="0"/>
          <w:sz w:val="22"/>
        </w:rPr>
        <w:t>• Add semantic MAPPO [3] as a stronger baseline?</w:t>
      </w:r>
    </w:p>
    <w:p>
      <w:r>
        <w:rPr>
          <w:rFonts w:ascii="Times New Roman" w:hAnsi="Times New Roman"/>
          <w:b w:val="0"/>
          <w:sz w:val="22"/>
        </w:rPr>
        <w:t>• Target venue priority: IEEE TMC / TVT / TWC?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