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T2Sem-DRL: Research Idea and Results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Jiashang Shen | Wenzhou Kean University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/>
          <w:sz w:val="22"/>
        </w:rPr>
        <w:t>1. Background and Problem</w:t>
      </w:r>
    </w:p>
    <w:p>
      <w:r>
        <w:rPr>
          <w:rFonts w:ascii="Times New Roman" w:hAnsi="Times New Roman"/>
          <w:b w:val="0"/>
          <w:sz w:val="22"/>
        </w:rPr>
        <w:t>• Scenario: multi-UAV + HAP hierarchical MEC with semantic compression ratio μ; each task must satisfy delay and similarity SLAs.</w:t>
      </w:r>
    </w:p>
    <w:p>
      <w:r>
        <w:rPr>
          <w:rFonts w:ascii="Times New Roman" w:hAnsi="Times New Roman"/>
          <w:b w:val="0"/>
          <w:sz w:val="22"/>
        </w:rPr>
        <w:t>• Three SLA tiers: Critical (≤100 ms, sim≥0.92), Interactive (≤300 ms, sim≥0.85), Best-effort (≤800 ms, sim≥0.75).</w:t>
      </w:r>
    </w:p>
    <w:p>
      <w:r>
        <w:rPr>
          <w:rFonts w:ascii="Times New Roman" w:hAnsi="Times New Roman"/>
          <w:b w:val="0"/>
          <w:sz w:val="22"/>
        </w:rPr>
        <w:t>• Bottlenecks: (i) structurally infeasible offload actions in continuous spaces (pure DRL: 59.9% SLA); (ii) tier starvation under single-metric optimization (greedy: 91.6% critical but 49.9% interactive); (iii) UAV trajectory energy with diminishing SLA return once routing is resolved by feasibility projection.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/>
          <w:sz w:val="22"/>
        </w:rPr>
        <w:t>2. Technical Approach (T2Sem-DRL v4.3)</w:t>
      </w:r>
    </w:p>
    <w:p>
      <w:r>
        <w:rPr>
          <w:rFonts w:ascii="Times New Roman" w:hAnsi="Times New Roman"/>
          <w:b w:val="0"/>
          <w:sz w:val="22"/>
        </w:rPr>
        <w:t>• Feasibility projection F: analytic semantic/channel/queue models clip actions before execution; all baselines share F for fair comparison.</w:t>
      </w:r>
    </w:p>
    <w:p>
      <w:r>
        <w:rPr>
          <w:rFonts w:ascii="Times New Roman" w:hAnsi="Times New Roman"/>
          <w:b w:val="0"/>
          <w:sz w:val="22"/>
        </w:rPr>
        <w:t>• Hierarchical semantic MEC model: adaptive μ, three-way offloading (local/UAV/HAP), contention-aware queueing.</w:t>
      </w:r>
    </w:p>
    <w:p>
      <w:r>
        <w:rPr>
          <w:rFonts w:ascii="Times New Roman" w:hAnsi="Times New Roman"/>
          <w:b w:val="0"/>
          <w:sz w:val="22"/>
        </w:rPr>
        <w:t>• Per-tier CMDP (PPO-Lagrangian): independent λ_κ for tier diagnostics, not aggregate-SLA improvement (single-λ 92.80% vs. full 92.17%).</w:t>
      </w:r>
    </w:p>
    <w:p>
      <w:r>
        <w:rPr>
          <w:rFonts w:ascii="Times New Roman" w:hAnsi="Times New Roman"/>
          <w:b w:val="0"/>
          <w:sz w:val="22"/>
        </w:rPr>
        <w:t>• Masked PPO + optional two-timescale DDPG: PPO refines within F (+6.2 pp); DDPG is an optional SLA–energy mode (93.99% @ 7.9 kJ vs. 88.85% @ 4.1 kJ).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/>
          <w:sz w:val="22"/>
        </w:rPr>
        <w:t>3. Experimental Setup</w:t>
      </w:r>
    </w:p>
    <w:p>
      <w:r>
        <w:rPr>
          <w:rFonts w:ascii="Times New Roman" w:hAnsi="Times New Roman"/>
          <w:b w:val="0"/>
          <w:sz w:val="22"/>
        </w:rPr>
        <w:t>• Training: 300 episodes × 3 seeds {42,123,456}; evaluation: 30 deterministic episodes per seed.</w:t>
      </w:r>
    </w:p>
    <w:p>
      <w:r>
        <w:rPr>
          <w:rFonts w:ascii="Times New Roman" w:hAnsi="Times New Roman"/>
          <w:b w:val="0"/>
          <w:sz w:val="22"/>
        </w:rPr>
        <w:t>• Scale: 8 UEs / 16 terminals / 3 UAVs / 2 HAPs; WSL Ubuntu CPU.</w:t>
      </w:r>
    </w:p>
    <w:p>
      <w:r>
        <w:rPr>
          <w:rFonts w:ascii="Times New Roman" w:hAnsi="Times New Roman"/>
          <w:b w:val="0"/>
          <w:sz w:val="22"/>
        </w:rPr>
        <w:t>• Baselines: Random, Greedy, TJCCT-Lite, Local-only, Independent PPO, Single-timescale.</w:t>
      </w:r>
    </w:p>
    <w:p>
      <w:r>
        <w:rPr>
          <w:rFonts w:ascii="Times New Roman" w:hAnsi="Times New Roman"/>
          <w:b w:val="0"/>
          <w:sz w:val="22"/>
        </w:rPr>
        <w:t>• Ablations: mask, semantic, per-tier λ, CMDP, single-ts, fixed-μ, and more (10 variants).</w:t>
      </w:r>
    </w:p>
    <w:p>
      <w:r>
        <w:rPr>
          <w:rFonts w:ascii="Times New Roman" w:hAnsi="Times New Roman"/>
          <w:b w:val="0"/>
          <w:sz w:val="22"/>
        </w:rPr>
        <w:t>• Stress test: mobility-critical low-HAP-capacity scenario (Table VI).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/>
          <w:sz w:val="22"/>
        </w:rPr>
        <w:t>4. Main Results</w:t>
      </w:r>
    </w:p>
    <w:p>
      <w:r>
        <w:rPr>
          <w:rFonts w:ascii="Times New Roman" w:hAnsi="Times New Roman"/>
          <w:b w:val="0"/>
          <w:sz w:val="22"/>
        </w:rPr>
        <w:t>• Table I — T2Sem-DRL: 93.99±1.74% SLA, 0.100 s delay; Greedy 87.77%, TJCCT 86.64%.</w:t>
      </w:r>
    </w:p>
    <w:p>
      <w:r>
        <w:rPr>
          <w:rFonts w:ascii="Times New Roman" w:hAnsi="Times New Roman"/>
          <w:b w:val="0"/>
          <w:sz w:val="22"/>
        </w:rPr>
        <w:t>• Table II — T2Sem-DRL balances tiers: 76.0% critical, 99.2% interactive, 100.0% best-effort; greedy sacrifices interactive (49.9%).</w:t>
      </w:r>
    </w:p>
    <w:p>
      <w:r>
        <w:rPr>
          <w:rFonts w:ascii="Times New Roman" w:hAnsi="Times New Roman"/>
          <w:b w:val="0"/>
          <w:sz w:val="22"/>
        </w:rPr>
        <w:t>• Table IV/V — Ablation hierarchy: semantic −46.0 pp, mask −31.8 pp, RL +6.2 pp over masked greedy.</w:t>
      </w:r>
    </w:p>
    <w:p>
      <w:r>
        <w:rPr>
          <w:rFonts w:ascii="Times New Roman" w:hAnsi="Times New Roman"/>
          <w:b w:val="0"/>
          <w:sz w:val="22"/>
        </w:rPr>
        <w:t>• Table I-b — Energy as operating points; no universal energy-dominance claim.</w:t>
      </w:r>
    </w:p>
    <w:p>
      <w:r>
        <w:rPr>
          <w:rFonts w:ascii="Times New Roman" w:hAnsi="Times New Roman"/>
          <w:b w:val="0"/>
          <w:sz w:val="22"/>
        </w:rPr>
        <w:t>• Table VI — Mobility-critical: two-timescale 16.4% vs. single-ts 1.7%; reported as limitation.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/>
          <w:sz w:val="22"/>
        </w:rPr>
        <w:t>5. Current Status</w:t>
      </w:r>
    </w:p>
    <w:p>
      <w:r>
        <w:rPr>
          <w:rFonts w:ascii="Times New Roman" w:hAnsi="Times New Roman"/>
          <w:b w:val="0"/>
          <w:sz w:val="22"/>
        </w:rPr>
        <w:t>• Full revision + ablation + mobility stress experiments completed.</w:t>
      </w:r>
    </w:p>
    <w:p>
      <w:r>
        <w:rPr>
          <w:rFonts w:ascii="Times New Roman" w:hAnsi="Times New Roman"/>
          <w:b w:val="0"/>
          <w:sz w:val="22"/>
        </w:rPr>
        <w:t>• 8 publication figures (blue palette + Times New Roman; Fig.8 high-contrast exception).</w:t>
      </w:r>
    </w:p>
    <w:p>
      <w:r>
        <w:rPr>
          <w:rFonts w:ascii="Times New Roman" w:hAnsi="Times New Roman"/>
          <w:b w:val="0"/>
          <w:sz w:val="22"/>
        </w:rPr>
        <w:t>• IEEE Word manuscript with native OMML equations; references and figure numbering verified.</w:t>
      </w:r>
    </w:p>
    <w:p>
      <w:r>
        <w:rPr>
          <w:rFonts w:ascii="Times New Roman" w:hAnsi="Times New Roman"/>
          <w:b w:val="0"/>
          <w:sz w:val="22"/>
        </w:rPr>
        <w:t>• Optional next steps: semantic MAPPO baseline, statistical tests, submission formatting.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/>
          <w:sz w:val="22"/>
        </w:rPr>
        <w:t>6. Suggested Narrative for Advisor Meeting</w:t>
      </w:r>
    </w:p>
    <w:p>
      <w:r>
        <w:rPr>
          <w:rFonts w:ascii="Times New Roman" w:hAnsi="Times New Roman"/>
          <w:b w:val="0"/>
          <w:sz w:val="22"/>
        </w:rPr>
        <w:t>• Problem: infeasible actions and tier starvation dominate, not missing DRL architecture.</w:t>
      </w:r>
    </w:p>
    <w:p>
      <w:r>
        <w:rPr>
          <w:rFonts w:ascii="Times New Roman" w:hAnsi="Times New Roman"/>
          <w:b w:val="0"/>
          <w:sz w:val="22"/>
        </w:rPr>
        <w:t>• Method: F + semantic model as system-level interface; RL refines inside the shell.</w:t>
      </w:r>
    </w:p>
    <w:p>
      <w:r>
        <w:rPr>
          <w:rFonts w:ascii="Times New Roman" w:hAnsi="Times New Roman"/>
          <w:b w:val="0"/>
          <w:sz w:val="22"/>
        </w:rPr>
        <w:t>• Evidence: ablation quantifies honest hierarchy (semantic &gt; mask &gt; RL).</w:t>
      </w:r>
    </w:p>
    <w:p>
      <w:r>
        <w:rPr>
          <w:rFonts w:ascii="Times New Roman" w:hAnsi="Times New Roman"/>
          <w:b w:val="0"/>
          <w:sz w:val="22"/>
        </w:rPr>
        <w:t>• Honesty: do not overclaim per-tier λ or DDPG; report energy as operating points; acknowledge critical-tier and mobility-critical limits.</w:t>
      </w:r>
    </w:p>
    <w:p>
      <w:r>
        <w:rPr>
          <w:rFonts w:ascii="Times New Roman" w:hAnsi="Times New Roman"/>
          <w:b w:val="0"/>
          <w:sz w:val="22"/>
        </w:rPr>
        <w:t>• Deliverables: complete manuscript + reproducible code (t2sem-mec-v2/).</w:t>
      </w:r>
    </w:p>
    <w:p>
      <w:r>
        <w:rPr>
          <w:rFonts w:ascii="Times New Roman" w:hAnsi="Times New Roman"/>
          <w:b w:val="0"/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