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95F3B">
      <w:pPr>
        <w:pStyle w:val="7"/>
        <w:outlineLvl w:val="1"/>
        <w:spacing w:before="91" w:line="219" w:lineRule="auto"/>
        <w:ind w:left="1920"/>
        <w:rPr>
          <w:sz w:val="28"/>
          <w:szCs w:val="28"/>
        </w:rPr>
      </w:pPr>
      <w:r>
        <w:rPr>
          <w:spacing w:val="-2"/>
          <w:sz w:val="28"/>
          <w:szCs w:val="28"/>
        </w:rPr>
        <w:t>第三节</w:t>
      </w:r>
      <w:r>
        <w:rPr>
          <w:spacing w:val="1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趋势牛股交易策略</w:t>
      </w:r>
    </w:p>
    <w:p w14:paraId="54C02813">
      <w:pPr>
        <w:spacing w:line="280" w:lineRule="auto"/>
        <w:rPr>
          <w:rFonts w:ascii="Arial"/>
          <w:sz w:val="21"/>
        </w:rPr>
      </w:pPr>
    </w:p>
    <w:p w14:paraId="000F3790">
      <w:pPr>
        <w:spacing w:line="281" w:lineRule="auto"/>
        <w:rPr>
          <w:rFonts w:ascii="Arial"/>
          <w:sz w:val="21"/>
        </w:rPr>
      </w:pPr>
    </w:p>
    <w:p w14:paraId="51EC81E7">
      <w:pPr>
        <w:pStyle w:val="7"/>
        <w:spacing w:before="69" w:line="336" w:lineRule="auto"/>
        <w:ind w:firstLine="429"/>
        <w:rPr>
          <w:sz w:val="21"/>
          <w:szCs w:val="21"/>
        </w:rPr>
      </w:pPr>
      <w:r>
        <w:rPr>
          <w:spacing w:val="-10"/>
          <w:sz w:val="21"/>
          <w:szCs w:val="21"/>
        </w:rPr>
        <w:t>交易趋势牛股最核心的问题是选股，买入则相对简单。选股的核心是理解透</w:t>
      </w:r>
      <w:r>
        <w:rPr>
          <w:spacing w:val="16"/>
          <w:sz w:val="21"/>
          <w:szCs w:val="21"/>
        </w:rPr>
        <w:t xml:space="preserve"> </w:t>
      </w:r>
      <w:r>
        <w:rPr>
          <w:spacing w:val="-14"/>
          <w:sz w:val="21"/>
          <w:szCs w:val="21"/>
        </w:rPr>
        <w:t>趋势牛股的八大技术特征和理解基本面问题，最后等待平台突破，完成买入动作。</w:t>
      </w:r>
    </w:p>
    <w:p w14:paraId="3BAAEB30">
      <w:pPr>
        <w:spacing w:before="175" w:line="221" w:lineRule="auto"/>
        <w:ind w:left="42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6"/>
          <w:sz w:val="22"/>
          <w:szCs w:val="22"/>
        </w:rPr>
        <w:t>一、交易步骤</w:t>
      </w:r>
    </w:p>
    <w:p w14:paraId="360A6862">
      <w:pPr>
        <w:spacing w:before="313" w:line="231" w:lineRule="auto"/>
        <w:ind w:left="429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pacing w:val="-3"/>
          <w:sz w:val="22"/>
          <w:szCs w:val="22"/>
        </w:rPr>
        <w:t>(一)选股方式</w:t>
      </w:r>
    </w:p>
    <w:p w14:paraId="6CB7EC07">
      <w:pPr>
        <w:pStyle w:val="7"/>
        <w:spacing w:before="91" w:line="321" w:lineRule="auto"/>
        <w:ind w:right="23" w:firstLine="429"/>
        <w:rPr>
          <w:sz w:val="22"/>
          <w:szCs w:val="22"/>
        </w:rPr>
      </w:pPr>
      <w:r>
        <w:rPr>
          <w:spacing w:val="-14"/>
          <w:sz w:val="22"/>
          <w:szCs w:val="22"/>
        </w:rPr>
        <w:t>其一，只要市场环境能够支撑，就可以直接参与市场中已经突破平台并已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经成为市场公认强势趋势龙头的个股(不是游资龙头)。趋势龙</w:t>
      </w:r>
      <w:r>
        <w:rPr>
          <w:spacing w:val="-7"/>
          <w:sz w:val="22"/>
          <w:szCs w:val="22"/>
        </w:rPr>
        <w:t>头股的行情不</w:t>
      </w:r>
    </w:p>
    <w:p w14:paraId="45C9CF75">
      <w:pPr>
        <w:spacing w:line="321" w:lineRule="auto"/>
        <w:rPr>
          <w:sz w:val="22"/>
          <w:szCs w:val="22"/>
        </w:rPr>
        <w:sectPr>
          <w:pgSz w:w="8770" w:h="13360"/>
          <w:pgMar w:top="1062" w:right="464" w:bottom="603" w:left="1229" w:header="801" w:footer="441" w:gutter="0"/>
          <w:cols w:space="720" w:num="1"/>
        </w:sectPr>
      </w:pPr>
    </w:p>
    <w:p w14:paraId="38073E5B">
      <w:pPr>
        <w:spacing w:line="278" w:lineRule="auto"/>
        <w:rPr>
          <w:rFonts w:ascii="Arial"/>
          <w:sz w:val="21"/>
        </w:rPr>
      </w:pPr>
    </w:p>
    <w:p w14:paraId="29094E95">
      <w:pPr>
        <w:spacing w:before="56" w:line="222" w:lineRule="auto"/>
        <w:ind w:left="562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5"/>
          <w:sz w:val="17"/>
          <w:szCs w:val="17"/>
        </w:rPr>
        <w:t>第三章</w:t>
      </w:r>
      <w:r>
        <w:rPr>
          <w:rFonts w:ascii="FangSong" w:hAnsi="FangSong" w:eastAsia="FangSong" w:cs="FangSong"/>
          <w:spacing w:val="12"/>
          <w:sz w:val="17"/>
          <w:szCs w:val="17"/>
        </w:rPr>
        <w:t xml:space="preserve">  </w:t>
      </w:r>
      <w:r>
        <w:rPr>
          <w:rFonts w:ascii="FangSong" w:hAnsi="FangSong" w:eastAsia="FangSong" w:cs="FangSong"/>
          <w:spacing w:val="5"/>
          <w:sz w:val="17"/>
          <w:szCs w:val="17"/>
        </w:rPr>
        <w:t>趋势战法</w:t>
      </w:r>
    </w:p>
    <w:p w14:paraId="130AD0EF">
      <w:pPr>
        <w:spacing w:line="413" w:lineRule="auto"/>
        <w:rPr>
          <w:rFonts w:ascii="Arial"/>
          <w:sz w:val="21"/>
        </w:rPr>
      </w:pPr>
    </w:p>
    <w:p w14:paraId="0BFE086A">
      <w:pPr>
        <w:pStyle w:val="7"/>
        <w:spacing w:before="71" w:line="219" w:lineRule="auto"/>
        <w:rPr>
          <w:sz w:val="22"/>
          <w:szCs w:val="22"/>
        </w:rPr>
      </w:pPr>
      <w:r>
        <w:rPr>
          <w:spacing w:val="-20"/>
          <w:sz w:val="22"/>
          <w:szCs w:val="22"/>
        </w:rPr>
        <w:t>会一下结束，其上涨空间需要时间兑现，会给充分参与的机会。</w:t>
      </w:r>
    </w:p>
    <w:p w14:paraId="560AD6D1">
      <w:pPr>
        <w:pStyle w:val="7"/>
        <w:spacing w:before="126" w:line="326" w:lineRule="auto"/>
        <w:ind w:right="80" w:firstLine="419"/>
        <w:jc w:val="both"/>
        <w:rPr>
          <w:sz w:val="21"/>
          <w:szCs w:val="21"/>
        </w:rPr>
      </w:pPr>
      <w:r>
        <w:rPr>
          <w:spacing w:val="-4"/>
          <w:sz w:val="21"/>
          <w:szCs w:val="21"/>
        </w:rPr>
        <w:t>其二，锁定3～5个板块主动选股，或每周研究当周上涨幅度较大的行业板</w:t>
      </w:r>
      <w:r>
        <w:rPr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块。选择技术特征符合，有政策支持或热点潜力的板块</w:t>
      </w:r>
      <w:r>
        <w:rPr>
          <w:spacing w:val="-4"/>
          <w:sz w:val="21"/>
          <w:szCs w:val="21"/>
        </w:rPr>
        <w:t>，将板块内满足技术形</w:t>
      </w:r>
      <w:r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态与基本面良好的中小市值个股建立股票池，对个股的历史平台线</w:t>
      </w:r>
      <w:r>
        <w:rPr>
          <w:spacing w:val="-5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RSI </w:t>
      </w:r>
      <w:r>
        <w:rPr>
          <w:spacing w:val="-5"/>
          <w:sz w:val="21"/>
          <w:szCs w:val="21"/>
        </w:rPr>
        <w:t>指</w:t>
      </w:r>
      <w:r>
        <w:rPr>
          <w:spacing w:val="-47"/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标</w:t>
      </w:r>
      <w:r>
        <w:rPr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线和短期形态开展持续跟踪。</w:t>
      </w:r>
    </w:p>
    <w:p w14:paraId="605BD120">
      <w:pPr>
        <w:pStyle w:val="7"/>
        <w:spacing w:line="218" w:lineRule="auto"/>
        <w:ind w:left="419"/>
        <w:rPr>
          <w:sz w:val="22"/>
          <w:szCs w:val="22"/>
        </w:rPr>
      </w:pPr>
      <w:r>
        <w:rPr>
          <w:spacing w:val="-23"/>
          <w:w w:val="98"/>
          <w:sz w:val="22"/>
          <w:szCs w:val="22"/>
        </w:rPr>
        <w:t>其三，选择当期走出强势股形态，具有趋势特征的个股持续跟踪，择机参与。</w:t>
      </w:r>
    </w:p>
    <w:p w14:paraId="05C21E2E">
      <w:pPr>
        <w:pStyle w:val="7"/>
        <w:spacing w:before="109" w:line="313" w:lineRule="auto"/>
        <w:ind w:right="101" w:firstLine="419"/>
        <w:rPr>
          <w:sz w:val="22"/>
          <w:szCs w:val="22"/>
        </w:rPr>
      </w:pPr>
      <w:r>
        <w:rPr>
          <w:spacing w:val="-20"/>
          <w:sz w:val="22"/>
          <w:szCs w:val="22"/>
        </w:rPr>
        <w:t>其四，通过跟踪，把上面股票池中的股票进行</w:t>
      </w:r>
      <w:r>
        <w:rPr>
          <w:spacing w:val="-21"/>
          <w:sz w:val="22"/>
          <w:szCs w:val="22"/>
        </w:rPr>
        <w:t>再过滤，选出更符合条件的个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股，保持在10只左右重点跟踪。不符合条件的就剔除，发现更好</w:t>
      </w:r>
      <w:r>
        <w:rPr>
          <w:spacing w:val="-16"/>
          <w:sz w:val="22"/>
          <w:szCs w:val="22"/>
        </w:rPr>
        <w:t>的就补进。</w:t>
      </w:r>
    </w:p>
    <w:p w14:paraId="6B717E47">
      <w:pPr>
        <w:pStyle w:val="7"/>
        <w:spacing w:before="24" w:line="325" w:lineRule="auto"/>
        <w:ind w:right="79" w:firstLine="419"/>
        <w:rPr>
          <w:sz w:val="21"/>
          <w:szCs w:val="21"/>
        </w:rPr>
      </w:pPr>
      <w:r>
        <w:rPr>
          <w:spacing w:val="-4"/>
          <w:sz w:val="21"/>
          <w:szCs w:val="21"/>
        </w:rPr>
        <w:t>通过持续选股和持续跟踪，盯上最先或强势突破平台上涨的目标个股进行</w:t>
      </w:r>
      <w:r>
        <w:rPr>
          <w:spacing w:val="1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操作。</w:t>
      </w:r>
    </w:p>
    <w:p w14:paraId="54AFB458">
      <w:pPr>
        <w:pStyle w:val="7"/>
        <w:spacing w:before="1" w:line="218" w:lineRule="auto"/>
        <w:ind w:left="419"/>
        <w:rPr>
          <w:sz w:val="21"/>
          <w:szCs w:val="21"/>
        </w:rPr>
      </w:pPr>
      <w:r>
        <w:rPr>
          <w:spacing w:val="-9"/>
          <w:sz w:val="21"/>
          <w:szCs w:val="21"/>
        </w:rPr>
        <w:t>只要是趋势牛股，就不怕没有上车的机会。</w:t>
      </w:r>
    </w:p>
    <w:p w14:paraId="7E20C3C9">
      <w:pPr>
        <w:spacing w:before="119" w:line="232" w:lineRule="auto"/>
        <w:ind w:left="419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pacing w:val="-4"/>
          <w:sz w:val="22"/>
          <w:szCs w:val="22"/>
        </w:rPr>
        <w:t>(二)保护好仓位</w:t>
      </w:r>
    </w:p>
    <w:p w14:paraId="02DFA452">
      <w:pPr>
        <w:pStyle w:val="7"/>
        <w:spacing w:before="95" w:line="327" w:lineRule="auto"/>
        <w:ind w:right="80" w:firstLine="419"/>
        <w:jc w:val="both"/>
        <w:rPr>
          <w:sz w:val="21"/>
          <w:szCs w:val="21"/>
        </w:rPr>
      </w:pPr>
      <w:r>
        <w:rPr>
          <w:spacing w:val="-10"/>
          <w:sz w:val="21"/>
          <w:szCs w:val="21"/>
        </w:rPr>
        <w:t>突破平台的首次买入一定不要满仓，可以先</w:t>
      </w:r>
      <w:r>
        <w:rPr>
          <w:spacing w:val="-11"/>
          <w:sz w:val="21"/>
          <w:szCs w:val="21"/>
        </w:rPr>
        <w:t>半仓，待判断趋势成立，前半仓</w:t>
      </w:r>
      <w:r>
        <w:rPr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有盈利再加仓。不要贪心，也不要担心，趋势牛股是机构主力上涨模式，所以会</w:t>
      </w:r>
      <w:r>
        <w:rPr>
          <w:spacing w:val="7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给投资者补仓的机会。建仓的方法有两种，一是突破平</w:t>
      </w:r>
      <w:r>
        <w:rPr>
          <w:spacing w:val="-4"/>
          <w:sz w:val="21"/>
          <w:szCs w:val="21"/>
        </w:rPr>
        <w:t>台时买入，二是突破平</w:t>
      </w:r>
      <w:r>
        <w:rPr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台后出现回调时买入。</w:t>
      </w:r>
    </w:p>
    <w:p w14:paraId="15BAB79E">
      <w:pPr>
        <w:pStyle w:val="7"/>
        <w:spacing w:before="12" w:line="334" w:lineRule="auto"/>
        <w:ind w:right="65" w:firstLine="419"/>
        <w:rPr>
          <w:sz w:val="21"/>
          <w:szCs w:val="21"/>
        </w:rPr>
      </w:pPr>
      <w:r>
        <w:rPr>
          <w:spacing w:val="-10"/>
          <w:sz w:val="21"/>
          <w:szCs w:val="21"/>
        </w:rPr>
        <w:t>机构类主力玩的股票，很少出现连续涨停或一字板上涨，而是</w:t>
      </w:r>
      <w:r>
        <w:rPr>
          <w:spacing w:val="-11"/>
          <w:sz w:val="21"/>
          <w:szCs w:val="21"/>
        </w:rPr>
        <w:t>以涨涨调调的</w:t>
      </w:r>
      <w:r>
        <w:rPr>
          <w:sz w:val="21"/>
          <w:szCs w:val="21"/>
        </w:rPr>
        <w:t xml:space="preserve"> </w:t>
      </w:r>
      <w:r>
        <w:rPr>
          <w:spacing w:val="-14"/>
          <w:sz w:val="21"/>
          <w:szCs w:val="21"/>
        </w:rPr>
        <w:t>方式上行，这类股票上涨的特点就是不愁买不到。所</w:t>
      </w:r>
      <w:r>
        <w:rPr>
          <w:spacing w:val="-15"/>
          <w:sz w:val="21"/>
          <w:szCs w:val="21"/>
        </w:rPr>
        <w:t>以，首次买入一定不要满仓。</w:t>
      </w:r>
    </w:p>
    <w:p w14:paraId="51E866D5">
      <w:pPr>
        <w:spacing w:line="225" w:lineRule="auto"/>
        <w:ind w:left="419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pacing w:val="-3"/>
          <w:sz w:val="22"/>
          <w:szCs w:val="22"/>
        </w:rPr>
        <w:t>(三)在上涨中做好波段</w:t>
      </w:r>
    </w:p>
    <w:p w14:paraId="31CC7283">
      <w:pPr>
        <w:pStyle w:val="7"/>
        <w:spacing w:before="84" w:line="219" w:lineRule="auto"/>
        <w:ind w:left="41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1. </w:t>
      </w:r>
      <w:r>
        <w:rPr>
          <w:spacing w:val="-6"/>
          <w:sz w:val="22"/>
          <w:szCs w:val="22"/>
        </w:rPr>
        <w:t>个股波段</w:t>
      </w:r>
    </w:p>
    <w:p w14:paraId="4A44ED00">
      <w:pPr>
        <w:pStyle w:val="7"/>
        <w:spacing w:before="121" w:line="311" w:lineRule="auto"/>
        <w:ind w:firstLine="419"/>
        <w:rPr>
          <w:sz w:val="22"/>
          <w:szCs w:val="22"/>
        </w:rPr>
      </w:pPr>
      <w:r>
        <w:rPr>
          <w:spacing w:val="-14"/>
          <w:sz w:val="22"/>
          <w:szCs w:val="22"/>
        </w:rPr>
        <w:t>趋势牛股在突破平台的上涨运行中，通常会有2～3个大浪调整，这些调整</w:t>
      </w:r>
      <w:r>
        <w:rPr>
          <w:spacing w:val="5"/>
          <w:sz w:val="22"/>
          <w:szCs w:val="22"/>
        </w:rPr>
        <w:t xml:space="preserve">  </w:t>
      </w:r>
      <w:r>
        <w:rPr>
          <w:spacing w:val="-4"/>
          <w:sz w:val="22"/>
          <w:szCs w:val="22"/>
        </w:rPr>
        <w:t>通常发生在偏离10周均线与30周均线(或50日均线与200日均线)过大时，且</w:t>
      </w:r>
      <w:r>
        <w:rPr>
          <w:spacing w:val="5"/>
          <w:sz w:val="22"/>
          <w:szCs w:val="22"/>
        </w:rPr>
        <w:t xml:space="preserve">  </w:t>
      </w:r>
      <w:r>
        <w:rPr>
          <w:spacing w:val="-11"/>
          <w:sz w:val="22"/>
          <w:szCs w:val="22"/>
        </w:rPr>
        <w:t>调整会有一定的深度。所以，在出现调整时，应该在一只股上进行波段操作。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而回调10周均线与30周均线或50日均线与200日均线，通常是回调买入的重</w:t>
      </w:r>
      <w:r>
        <w:rPr>
          <w:spacing w:val="3"/>
          <w:sz w:val="22"/>
          <w:szCs w:val="22"/>
        </w:rPr>
        <w:t xml:space="preserve">  </w:t>
      </w:r>
      <w:r>
        <w:rPr>
          <w:spacing w:val="-12"/>
          <w:sz w:val="22"/>
          <w:szCs w:val="22"/>
        </w:rPr>
        <w:t>要位置，可以结合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RSI </w:t>
      </w:r>
      <w:r>
        <w:rPr>
          <w:spacing w:val="-12"/>
          <w:sz w:val="22"/>
          <w:szCs w:val="22"/>
        </w:rPr>
        <w:t>指标操作。</w:t>
      </w:r>
    </w:p>
    <w:p w14:paraId="689ED3CF">
      <w:pPr>
        <w:pStyle w:val="7"/>
        <w:spacing w:before="25" w:line="220" w:lineRule="auto"/>
        <w:ind w:left="419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2. </w:t>
      </w:r>
      <w:r>
        <w:rPr>
          <w:spacing w:val="6"/>
          <w:sz w:val="20"/>
          <w:szCs w:val="20"/>
        </w:rPr>
        <w:t>换股波段</w:t>
      </w:r>
    </w:p>
    <w:p w14:paraId="07AE57DC">
      <w:pPr>
        <w:pStyle w:val="7"/>
        <w:spacing w:before="133" w:line="311" w:lineRule="auto"/>
        <w:ind w:right="98" w:firstLine="419"/>
        <w:rPr>
          <w:sz w:val="22"/>
          <w:szCs w:val="22"/>
        </w:rPr>
      </w:pPr>
      <w:r>
        <w:rPr>
          <w:spacing w:val="-14"/>
          <w:sz w:val="22"/>
          <w:szCs w:val="22"/>
        </w:rPr>
        <w:t>如果买入了一只个股，并完整参与了这只个股的第一轮主升段</w:t>
      </w:r>
      <w:r>
        <w:rPr>
          <w:spacing w:val="-15"/>
          <w:sz w:val="22"/>
          <w:szCs w:val="22"/>
        </w:rPr>
        <w:t>，在个股进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入大浪调整期后，如果另外有个股突破平台进入主升浪的，可以换股参与这一</w:t>
      </w:r>
      <w:r>
        <w:rPr>
          <w:spacing w:val="6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只股的主升段。换股的要点必须是参与完一个主升，出现另一个进入主升时才</w:t>
      </w:r>
    </w:p>
    <w:p w14:paraId="176FB836">
      <w:pPr>
        <w:spacing w:line="311" w:lineRule="auto"/>
        <w:rPr>
          <w:sz w:val="22"/>
          <w:szCs w:val="22"/>
        </w:rPr>
        <w:sectPr>
          <w:pgSz w:w="8740" w:h="13340"/>
          <w:pgMar w:top="400" w:right="1179" w:bottom="641" w:left="450" w:header="0" w:footer="497" w:gutter="0"/>
          <w:cols w:space="720" w:num="1"/>
        </w:sectPr>
      </w:pPr>
    </w:p>
    <w:p w14:paraId="77596FD2">
      <w:pPr>
        <w:spacing w:line="422" w:lineRule="auto"/>
        <w:rPr>
          <w:rFonts w:ascii="Arial"/>
          <w:sz w:val="21"/>
        </w:rPr>
      </w:pPr>
    </w:p>
    <w:p w14:paraId="222D2618">
      <w:pPr>
        <w:pStyle w:val="7"/>
        <w:spacing w:before="71" w:line="219" w:lineRule="auto"/>
        <w:rPr>
          <w:sz w:val="22"/>
          <w:szCs w:val="22"/>
        </w:rPr>
      </w:pPr>
      <w:r>
        <w:rPr>
          <w:spacing w:val="-8"/>
          <w:sz w:val="22"/>
          <w:szCs w:val="22"/>
        </w:rPr>
        <w:t>能换股。否则还是建议在一只股上波段(见图3—9)。</w:t>
      </w:r>
    </w:p>
    <w:p w14:paraId="55DBD6B9">
      <w:pPr>
        <w:spacing w:line="248" w:lineRule="auto"/>
        <w:rPr>
          <w:rFonts w:ascii="Arial"/>
          <w:sz w:val="21"/>
        </w:rPr>
      </w:pPr>
    </w:p>
    <w:p w14:paraId="0B567340">
      <w:pPr>
        <w:pStyle w:val="7"/>
        <w:spacing w:line="5870" w:lineRule="exact"/>
        <w:ind w:firstLine="39"/>
      </w:pPr>
      <w:r>
        <w:rPr>
          <w:position w:val="-117"/>
        </w:rPr>
        <w:pict>
          <v:group id="_x0000_s1175" o:spid="_x0000_s1175" o:spt="203" style="height:293.5pt;width:350.55pt;" coordsize="7010,5870">
            <o:lock v:ext="edit"/>
            <v:shape id="_x0000_s1176" o:spid="_x0000_s1176" o:spt="75" type="#_x0000_t75" style="position:absolute;left:0;top:0;height:5870;width:7010;" filled="f" stroked="f" coordsize="21600,21600">
              <v:path/>
              <v:fill on="f" focussize="0,0"/>
              <v:stroke on="f"/>
              <v:imagedata r:id="rId615" o:title=""/>
              <o:lock v:ext="edit" aspectratio="t"/>
            </v:shape>
            <v:shape id="_x0000_s1177" o:spid="_x0000_s1177" o:spt="202" type="#_x0000_t202" style="position:absolute;left:49;top:344;height:5400;width:60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A726E5">
                    <w:pPr>
                      <w:spacing w:before="19" w:line="222" w:lineRule="auto"/>
                      <w:ind w:left="2449"/>
                      <w:rPr>
                        <w:rFonts w:ascii="黑体" w:hAnsi="黑体" w:eastAsia="黑体" w:cs="黑体"/>
                        <w:sz w:val="11"/>
                        <w:szCs w:val="11"/>
                      </w:rPr>
                    </w:pPr>
                    <w:r>
                      <w:rPr>
                        <w:rFonts w:ascii="黑体" w:hAnsi="黑体" w:eastAsia="黑体" w:cs="黑体"/>
                        <w:spacing w:val="13"/>
                        <w:sz w:val="11"/>
                        <w:szCs w:val="11"/>
                      </w:rPr>
                      <w:t>突破平台参与</w:t>
                    </w:r>
                  </w:p>
                  <w:p w14:paraId="0E8DE822">
                    <w:pPr>
                      <w:spacing w:before="17" w:line="219" w:lineRule="auto"/>
                      <w:ind w:left="245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13"/>
                        <w:szCs w:val="13"/>
                      </w:rPr>
                      <w:t>第二波主升浪</w:t>
                    </w:r>
                  </w:p>
                  <w:p w14:paraId="6A9D208D">
                    <w:pPr>
                      <w:spacing w:line="363" w:lineRule="auto"/>
                      <w:rPr>
                        <w:rFonts w:ascii="Arial"/>
                        <w:sz w:val="21"/>
                      </w:rPr>
                    </w:pPr>
                  </w:p>
                  <w:p w14:paraId="0439B710">
                    <w:pPr>
                      <w:spacing w:before="42" w:line="222" w:lineRule="auto"/>
                      <w:ind w:left="263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3"/>
                        <w:sz w:val="13"/>
                        <w:szCs w:val="13"/>
                      </w:rPr>
                      <w:t>回避调整期</w:t>
                    </w:r>
                  </w:p>
                  <w:p w14:paraId="3145EEE4">
                    <w:pPr>
                      <w:spacing w:before="1" w:line="219" w:lineRule="auto"/>
                      <w:ind w:left="262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sz w:val="13"/>
                        <w:szCs w:val="13"/>
                      </w:rPr>
                      <w:t>参与其他主升个股</w:t>
                    </w:r>
                  </w:p>
                  <w:p w14:paraId="7A252F88"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</w:p>
                  <w:p w14:paraId="5B46C144">
                    <w:pPr>
                      <w:spacing w:before="43" w:line="344" w:lineRule="auto"/>
                      <w:ind w:left="1259" w:right="4157" w:firstLine="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13"/>
                        <w:szCs w:val="13"/>
                      </w:rPr>
                      <w:t>突破平台</w:t>
                    </w:r>
                    <w:r>
                      <w:rPr>
                        <w:rFonts w:ascii="宋体" w:hAnsi="宋体" w:eastAsia="宋体" w:cs="宋体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rFonts w:ascii="FangSong" w:hAnsi="FangSong" w:eastAsia="FangSong" w:cs="FangSong"/>
                        <w:spacing w:val="-6"/>
                        <w:sz w:val="13"/>
                        <w:szCs w:val="13"/>
                      </w:rPr>
                      <w:t>第一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6"/>
                        <w:sz w:val="13"/>
                        <w:szCs w:val="13"/>
                      </w:rPr>
                      <w:t>波主升</w:t>
                    </w:r>
                  </w:p>
                  <w:p w14:paraId="38F5B2F6"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</w:p>
                  <w:p w14:paraId="5A05AD1D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7F8DB572">
                    <w:pPr>
                      <w:spacing w:before="42" w:line="259" w:lineRule="auto"/>
                      <w:ind w:left="5530" w:right="20" w:hanging="9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6"/>
                        <w:sz w:val="13"/>
                        <w:szCs w:val="13"/>
                      </w:rPr>
                      <w:t>回避调整</w:t>
                    </w:r>
                    <w:r>
                      <w:rPr>
                        <w:rFonts w:ascii="宋体" w:hAnsi="宋体" w:eastAsia="宋体" w:cs="宋体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11"/>
                        <w:sz w:val="11"/>
                        <w:szCs w:val="11"/>
                      </w:rPr>
                      <w:t>波段模式</w:t>
                    </w:r>
                  </w:p>
                  <w:p w14:paraId="3A410E8D"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</w:p>
                  <w:p w14:paraId="7328248A">
                    <w:pPr>
                      <w:spacing w:before="43" w:line="212" w:lineRule="auto"/>
                      <w:ind w:left="3651" w:right="1463" w:firstLine="10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7"/>
                        <w:sz w:val="13"/>
                        <w:szCs w:val="13"/>
                      </w:rPr>
                      <w:t>偏离50日、200日</w:t>
                    </w:r>
                    <w:r>
                      <w:rPr>
                        <w:rFonts w:ascii="宋体" w:hAnsi="宋体" w:eastAsia="宋体" w:cs="宋体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10"/>
                        <w:sz w:val="11"/>
                        <w:szCs w:val="11"/>
                      </w:rPr>
                      <w:t>均线回调</w:t>
                    </w:r>
                  </w:p>
                  <w:p w14:paraId="2C82AA03">
                    <w:pPr>
                      <w:spacing w:before="1" w:line="338" w:lineRule="auto"/>
                      <w:ind w:left="20" w:right="4574" w:firstLine="1239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sz w:val="11"/>
                        <w:szCs w:val="11"/>
                      </w:rPr>
                      <w:t>0.58</w:t>
                    </w:r>
                    <w:r>
                      <w:rPr>
                        <w:rFonts w:ascii="Arial" w:hAnsi="Arial" w:eastAsia="Arial" w:cs="Arial"/>
                        <w:spacing w:val="2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14"/>
                        <w:sz w:val="16"/>
                        <w:szCs w:val="16"/>
                      </w:rPr>
                      <w:t>sSIt4.0.0514 +37541</w:t>
                    </w:r>
                  </w:p>
                  <w:p w14:paraId="08B3E1B0">
                    <w:pPr>
                      <w:spacing w:before="28" w:line="222" w:lineRule="auto"/>
                      <w:ind w:left="4479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3"/>
                        <w:sz w:val="13"/>
                        <w:szCs w:val="13"/>
                      </w:rPr>
                      <w:t>买点现</w:t>
                    </w:r>
                  </w:p>
                  <w:p w14:paraId="75917527">
                    <w:pPr>
                      <w:spacing w:before="263" w:line="222" w:lineRule="auto"/>
                      <w:ind w:left="3860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8"/>
                        <w:sz w:val="13"/>
                        <w:szCs w:val="13"/>
                      </w:rPr>
                      <w:t>买点现</w:t>
                    </w:r>
                  </w:p>
                  <w:p w14:paraId="6B9A5AB6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162B4B7D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C951185">
                    <w:pPr>
                      <w:spacing w:before="43" w:line="220" w:lineRule="auto"/>
                      <w:ind w:left="430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sz w:val="13"/>
                        <w:szCs w:val="13"/>
                      </w:rPr>
                      <w:t>卖点现</w:t>
                    </w:r>
                  </w:p>
                  <w:p w14:paraId="4500FDF6">
                    <w:pPr>
                      <w:spacing w:before="115" w:line="220" w:lineRule="auto"/>
                      <w:ind w:left="245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sz w:val="13"/>
                        <w:szCs w:val="13"/>
                      </w:rPr>
                      <w:t>卖点现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AB32368">
      <w:pPr>
        <w:pStyle w:val="7"/>
        <w:spacing w:before="216" w:line="221" w:lineRule="auto"/>
        <w:ind w:left="2832"/>
        <w:rPr>
          <w:rFonts w:ascii="黑体" w:hAnsi="黑体" w:eastAsia="黑体" w:cs="黑体"/>
          <w:sz w:val="19"/>
          <w:szCs w:val="19"/>
        </w:rPr>
      </w:pPr>
      <w:r>
        <w:rPr>
          <w:b/>
          <w:bCs/>
          <w:spacing w:val="-12"/>
          <w:sz w:val="19"/>
          <w:szCs w:val="19"/>
        </w:rPr>
        <w:t>图</w:t>
      </w:r>
      <w:r>
        <w:rPr>
          <w:spacing w:val="-35"/>
          <w:sz w:val="19"/>
          <w:szCs w:val="19"/>
        </w:rPr>
        <w:t xml:space="preserve"> </w:t>
      </w:r>
      <w:r>
        <w:rPr>
          <w:b/>
          <w:bCs/>
          <w:spacing w:val="-12"/>
          <w:sz w:val="19"/>
          <w:szCs w:val="19"/>
        </w:rPr>
        <w:t>3</w:t>
      </w:r>
      <w:r>
        <w:rPr>
          <w:spacing w:val="-44"/>
          <w:sz w:val="19"/>
          <w:szCs w:val="19"/>
        </w:rPr>
        <w:t xml:space="preserve"> </w:t>
      </w:r>
      <w:r>
        <w:rPr>
          <w:b/>
          <w:bCs/>
          <w:spacing w:val="-12"/>
          <w:sz w:val="19"/>
          <w:szCs w:val="19"/>
        </w:rPr>
        <w:t>-</w:t>
      </w:r>
      <w:r>
        <w:rPr>
          <w:spacing w:val="-41"/>
          <w:sz w:val="19"/>
          <w:szCs w:val="19"/>
        </w:rPr>
        <w:t xml:space="preserve"> </w:t>
      </w:r>
      <w:r>
        <w:rPr>
          <w:b/>
          <w:bCs/>
          <w:spacing w:val="-12"/>
          <w:sz w:val="19"/>
          <w:szCs w:val="19"/>
        </w:rPr>
        <w:t>9</w:t>
      </w:r>
      <w:r>
        <w:rPr>
          <w:spacing w:val="77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-12"/>
          <w:sz w:val="19"/>
          <w:szCs w:val="19"/>
        </w:rPr>
        <w:t>换股波段</w:t>
      </w:r>
    </w:p>
    <w:p w14:paraId="2A864428">
      <w:pPr>
        <w:spacing w:line="469" w:lineRule="auto"/>
        <w:rPr>
          <w:rFonts w:ascii="Arial"/>
          <w:sz w:val="21"/>
        </w:rPr>
      </w:pPr>
    </w:p>
    <w:p w14:paraId="02075E41">
      <w:pPr>
        <w:spacing w:before="71" w:line="221" w:lineRule="auto"/>
        <w:ind w:left="44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2"/>
          <w:sz w:val="22"/>
          <w:szCs w:val="22"/>
        </w:rPr>
        <w:t>二、须关注的几个问题</w:t>
      </w:r>
    </w:p>
    <w:p w14:paraId="1F218804">
      <w:pPr>
        <w:spacing w:before="285" w:line="226" w:lineRule="auto"/>
        <w:ind w:left="449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pacing w:val="16"/>
          <w:sz w:val="20"/>
          <w:szCs w:val="20"/>
        </w:rPr>
        <w:t>(一)克服畏高情绪与便宜心理</w:t>
      </w:r>
    </w:p>
    <w:p w14:paraId="57536A62">
      <w:pPr>
        <w:pStyle w:val="7"/>
        <w:spacing w:before="108" w:line="219" w:lineRule="auto"/>
        <w:ind w:left="449"/>
        <w:rPr>
          <w:sz w:val="22"/>
          <w:szCs w:val="22"/>
        </w:rPr>
      </w:pPr>
      <w:r>
        <w:rPr>
          <w:spacing w:val="-9"/>
          <w:sz w:val="22"/>
          <w:szCs w:val="22"/>
        </w:rPr>
        <w:t>(1)什么是畏高情绪</w:t>
      </w:r>
    </w:p>
    <w:p w14:paraId="023781DD">
      <w:pPr>
        <w:pStyle w:val="7"/>
        <w:spacing w:before="85" w:line="304" w:lineRule="auto"/>
        <w:ind w:left="49" w:firstLine="400"/>
        <w:rPr>
          <w:sz w:val="22"/>
          <w:szCs w:val="22"/>
        </w:rPr>
      </w:pPr>
      <w:r>
        <w:rPr>
          <w:spacing w:val="-12"/>
          <w:sz w:val="22"/>
          <w:szCs w:val="22"/>
        </w:rPr>
        <w:t>就是个股从底部上来后，到要突破平台前，可能相</w:t>
      </w:r>
      <w:r>
        <w:rPr>
          <w:spacing w:val="-13"/>
          <w:sz w:val="22"/>
          <w:szCs w:val="22"/>
        </w:rPr>
        <w:t>比最低价时已经上涨了</w:t>
      </w:r>
      <w:r>
        <w:rPr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30%～80%时反而不敢买入。更多的人更喜欢追</w:t>
      </w:r>
      <w:r>
        <w:rPr>
          <w:sz w:val="22"/>
          <w:szCs w:val="22"/>
        </w:rPr>
        <w:t xml:space="preserve">还在底部实际上却没有确定 </w:t>
      </w:r>
      <w:r>
        <w:rPr>
          <w:spacing w:val="-12"/>
          <w:sz w:val="22"/>
          <w:szCs w:val="22"/>
        </w:rPr>
        <w:t>性的个股。所以，只要条件满足于八个技术特</w:t>
      </w:r>
      <w:r>
        <w:rPr>
          <w:spacing w:val="-13"/>
          <w:sz w:val="22"/>
          <w:szCs w:val="22"/>
        </w:rPr>
        <w:t>征，在牛市中要敢大胆在个股走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出趋势后买入。</w:t>
      </w:r>
    </w:p>
    <w:p w14:paraId="3AD2D507">
      <w:pPr>
        <w:pStyle w:val="7"/>
        <w:spacing w:before="35" w:line="219" w:lineRule="auto"/>
        <w:ind w:left="449"/>
        <w:rPr>
          <w:sz w:val="22"/>
          <w:szCs w:val="22"/>
        </w:rPr>
      </w:pPr>
      <w:r>
        <w:rPr>
          <w:spacing w:val="-9"/>
          <w:sz w:val="22"/>
          <w:szCs w:val="22"/>
        </w:rPr>
        <w:t>(2)牛市与熊市买股的区别</w:t>
      </w:r>
    </w:p>
    <w:p w14:paraId="696573F9">
      <w:pPr>
        <w:pStyle w:val="7"/>
        <w:spacing w:before="89" w:line="219" w:lineRule="auto"/>
        <w:ind w:right="17"/>
        <w:jc w:val="right"/>
        <w:rPr>
          <w:sz w:val="22"/>
          <w:szCs w:val="22"/>
        </w:rPr>
      </w:pPr>
      <w:r>
        <w:rPr>
          <w:spacing w:val="-19"/>
          <w:sz w:val="22"/>
          <w:szCs w:val="22"/>
        </w:rPr>
        <w:t>熊市不能追高，而在牛市则要敢于买“贵”的，买已经启动突破平台上涨趋</w:t>
      </w:r>
    </w:p>
    <w:p w14:paraId="3E5B7CF6">
      <w:pPr>
        <w:spacing w:line="219" w:lineRule="auto"/>
        <w:rPr>
          <w:sz w:val="22"/>
          <w:szCs w:val="22"/>
        </w:rPr>
        <w:sectPr>
          <w:pgSz w:w="8770" w:h="13360"/>
          <w:pgMar w:top="1012" w:right="465" w:bottom="633" w:left="1190" w:header="751" w:footer="471" w:gutter="0"/>
          <w:cols w:space="720" w:num="1"/>
        </w:sectPr>
      </w:pPr>
    </w:p>
    <w:p w14:paraId="50B4D016">
      <w:pPr>
        <w:spacing w:line="259" w:lineRule="auto"/>
        <w:rPr>
          <w:rFonts w:ascii="Arial"/>
          <w:sz w:val="21"/>
        </w:rPr>
      </w:pPr>
    </w:p>
    <w:p w14:paraId="44D7CD91">
      <w:pPr>
        <w:spacing w:before="55" w:line="222" w:lineRule="auto"/>
        <w:ind w:right="17"/>
        <w:jc w:val="right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1"/>
          <w:sz w:val="17"/>
          <w:szCs w:val="17"/>
        </w:rPr>
        <w:t>第三章</w:t>
      </w:r>
      <w:r>
        <w:rPr>
          <w:rFonts w:ascii="FangSong" w:hAnsi="FangSong" w:eastAsia="FangSong" w:cs="FangSong"/>
          <w:spacing w:val="58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1"/>
          <w:sz w:val="17"/>
          <w:szCs w:val="17"/>
        </w:rPr>
        <w:t>趋势战法</w:t>
      </w:r>
    </w:p>
    <w:p w14:paraId="3C439BD8">
      <w:pPr>
        <w:spacing w:line="450" w:lineRule="auto"/>
        <w:rPr>
          <w:rFonts w:ascii="Arial"/>
          <w:sz w:val="21"/>
        </w:rPr>
      </w:pPr>
    </w:p>
    <w:p w14:paraId="247C7CAB">
      <w:pPr>
        <w:pStyle w:val="7"/>
        <w:spacing w:before="65" w:line="219" w:lineRule="auto"/>
        <w:rPr>
          <w:sz w:val="20"/>
          <w:szCs w:val="20"/>
        </w:rPr>
      </w:pPr>
      <w:r>
        <w:rPr>
          <w:spacing w:val="3"/>
          <w:sz w:val="20"/>
          <w:szCs w:val="20"/>
        </w:rPr>
        <w:t>势中的股票，牛市初期真正的趋势股必定带来大收益。</w:t>
      </w:r>
    </w:p>
    <w:p w14:paraId="5A2382D3">
      <w:pPr>
        <w:pStyle w:val="7"/>
        <w:spacing w:before="114" w:line="220" w:lineRule="auto"/>
        <w:ind w:left="439"/>
        <w:rPr>
          <w:sz w:val="22"/>
          <w:szCs w:val="22"/>
        </w:rPr>
      </w:pPr>
      <w:r>
        <w:rPr>
          <w:spacing w:val="-8"/>
          <w:sz w:val="22"/>
          <w:szCs w:val="22"/>
        </w:rPr>
        <w:t>(3)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K </w:t>
      </w:r>
      <w:r>
        <w:rPr>
          <w:spacing w:val="-8"/>
          <w:sz w:val="22"/>
          <w:szCs w:val="22"/>
        </w:rPr>
        <w:t>线的形态与位置</w:t>
      </w:r>
    </w:p>
    <w:p w14:paraId="70C673EB">
      <w:pPr>
        <w:pStyle w:val="7"/>
        <w:spacing w:before="125" w:line="310" w:lineRule="auto"/>
        <w:ind w:left="10" w:firstLine="419"/>
        <w:rPr>
          <w:sz w:val="21"/>
          <w:szCs w:val="21"/>
        </w:rPr>
      </w:pPr>
      <w:r>
        <w:rPr>
          <w:spacing w:val="-9"/>
          <w:sz w:val="21"/>
          <w:szCs w:val="21"/>
        </w:rPr>
        <w:t>在实战中，在突破平台前，我们看到的图其实并非如此，而是像</w:t>
      </w:r>
      <w:r>
        <w:rPr>
          <w:spacing w:val="-10"/>
          <w:sz w:val="21"/>
          <w:szCs w:val="21"/>
        </w:rPr>
        <w:t>下面的两只</w:t>
      </w:r>
      <w:r>
        <w:rPr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股一样，这时就需要克服畏高情绪(周线与日线图)(见图3—10)。</w:t>
      </w:r>
    </w:p>
    <w:p w14:paraId="4C1EAAD3">
      <w:pPr>
        <w:spacing w:before="146" w:line="2920" w:lineRule="exact"/>
        <w:ind w:firstLine="49"/>
      </w:pPr>
      <w:r>
        <w:rPr>
          <w:position w:val="-58"/>
        </w:rPr>
        <w:drawing>
          <wp:inline distT="0" distB="0" distL="0" distR="0">
            <wp:extent cx="4413250" cy="185356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4413280" cy="185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7A85">
      <w:pPr>
        <w:pStyle w:val="7"/>
        <w:spacing w:before="120" w:line="2850" w:lineRule="exact"/>
        <w:ind w:firstLine="49"/>
      </w:pPr>
      <w:r>
        <w:rPr>
          <w:position w:val="-57"/>
        </w:rPr>
        <w:pict>
          <v:group id="_x0000_s1178" o:spid="_x0000_s1178" o:spt="203" style="height:142.55pt;width:347.55pt;" coordsize="6950,2851">
            <o:lock v:ext="edit"/>
            <v:shape id="_x0000_s1179" o:spid="_x0000_s1179" o:spt="75" type="#_x0000_t75" style="position:absolute;left:0;top:0;height:2851;width:6950;" filled="f" stroked="f" coordsize="21600,21600">
              <v:path/>
              <v:fill on="f" focussize="0,0"/>
              <v:stroke on="f"/>
              <v:imagedata r:id="rId617" o:title=""/>
              <o:lock v:ext="edit" aspectratio="t"/>
            </v:shape>
            <v:shape id="_x0000_s1180" o:spid="_x0000_s1180" o:spt="202" type="#_x0000_t202" style="position:absolute;left:210;top:57;height:2762;width:610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64FD43">
                    <w:pPr>
                      <w:spacing w:before="20" w:line="188" w:lineRule="auto"/>
                      <w:ind w:left="5569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9"/>
                        <w:szCs w:val="9"/>
                      </w:rPr>
                      <w:t>P15435</w:t>
                    </w:r>
                  </w:p>
                  <w:p w14:paraId="659E198A">
                    <w:pPr>
                      <w:spacing w:before="271" w:line="259" w:lineRule="exact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pacing w:val="-23"/>
                        <w:position w:val="1"/>
                        <w:sz w:val="19"/>
                        <w:szCs w:val="19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pacing w:val="-22"/>
                        <w:position w:val="1"/>
                        <w:sz w:val="19"/>
                        <w:szCs w:val="19"/>
                      </w:rPr>
                      <w:t>9.1</w:t>
                    </w:r>
                    <w:r>
                      <w:rPr>
                        <w:rFonts w:ascii="Arial" w:hAnsi="Arial" w:eastAsia="Arial" w:cs="Arial"/>
                        <w:spacing w:val="-11"/>
                        <w:position w:val="1"/>
                        <w:sz w:val="19"/>
                        <w:szCs w:val="19"/>
                      </w:rPr>
                      <w:t>2</w:t>
                    </w:r>
                  </w:p>
                  <w:p w14:paraId="7FC566DC">
                    <w:pPr>
                      <w:spacing w:line="411" w:lineRule="auto"/>
                      <w:rPr>
                        <w:rFonts w:ascii="Arial"/>
                        <w:sz w:val="21"/>
                      </w:rPr>
                    </w:pPr>
                  </w:p>
                  <w:p w14:paraId="376DB96E">
                    <w:pPr>
                      <w:spacing w:before="42" w:line="236" w:lineRule="auto"/>
                      <w:ind w:left="69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2"/>
                        <w:sz w:val="13"/>
                        <w:szCs w:val="13"/>
                      </w:rPr>
                      <w:t>已经上涨104%</w:t>
                    </w:r>
                    <w:r>
                      <w:rPr>
                        <w:rFonts w:ascii="宋体" w:hAnsi="宋体" w:eastAsia="宋体" w:cs="宋体"/>
                        <w:spacing w:val="-2"/>
                        <w:sz w:val="13"/>
                        <w:szCs w:val="13"/>
                      </w:rPr>
                      <w:t xml:space="preserve">                                             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position w:val="1"/>
                        <w:sz w:val="13"/>
                        <w:szCs w:val="13"/>
                      </w:rPr>
                      <w:t>已经上涨66%</w:t>
                    </w:r>
                  </w:p>
                  <w:p w14:paraId="06671651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6A796DA3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30CA5B02"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</w:p>
                  <w:p w14:paraId="7E3DB8DF"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</w:p>
                  <w:p w14:paraId="68443C2E">
                    <w:pPr>
                      <w:spacing w:before="32" w:line="188" w:lineRule="auto"/>
                      <w:ind w:left="760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11"/>
                        <w:szCs w:val="11"/>
                      </w:rPr>
                      <w:t>18.97</w:t>
                    </w:r>
                  </w:p>
                  <w:p w14:paraId="65AFC918">
                    <w:pPr>
                      <w:spacing w:before="67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A0A090"/>
                        <w:spacing w:val="-5"/>
                        <w:sz w:val="13"/>
                        <w:szCs w:val="13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color w:val="A0A090"/>
                        <w:spacing w:val="8"/>
                        <w:sz w:val="13"/>
                        <w:szCs w:val="1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606050"/>
                        <w:spacing w:val="-5"/>
                        <w:sz w:val="13"/>
                        <w:szCs w:val="13"/>
                      </w:rPr>
                      <w:t>zns</w:t>
                    </w:r>
                  </w:p>
                </w:txbxContent>
              </v:textbox>
            </v:shape>
            <v:shape id="_x0000_s1181" o:spid="_x0000_s1181" o:spt="202" type="#_x0000_t202" style="position:absolute;left:5351;top:624;height:170;width:5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01E983">
                    <w:pPr>
                      <w:spacing w:before="20" w:line="221" w:lineRule="auto"/>
                      <w:ind w:left="20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13"/>
                        <w:szCs w:val="13"/>
                      </w:rPr>
                      <w:t>突破平台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4A70E94">
      <w:pPr>
        <w:spacing w:before="130" w:line="2390" w:lineRule="exact"/>
        <w:ind w:firstLine="49"/>
      </w:pPr>
      <w:r>
        <w:rPr>
          <w:position w:val="-47"/>
        </w:rPr>
        <w:drawing>
          <wp:inline distT="0" distB="0" distL="0" distR="0">
            <wp:extent cx="4406265" cy="151701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4406897" cy="15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65FF">
      <w:pPr>
        <w:spacing w:line="2390" w:lineRule="exact"/>
        <w:sectPr>
          <w:pgSz w:w="8740" w:h="13340"/>
          <w:pgMar w:top="400" w:right="1220" w:bottom="718" w:left="459" w:header="0" w:footer="486" w:gutter="0"/>
          <w:cols w:space="720" w:num="1"/>
        </w:sectPr>
      </w:pPr>
    </w:p>
    <w:p w14:paraId="3FEACC90">
      <w:pPr>
        <w:spacing w:line="301" w:lineRule="auto"/>
        <w:rPr>
          <w:rFonts w:ascii="Arial"/>
          <w:sz w:val="21"/>
        </w:rPr>
      </w:pPr>
    </w:p>
    <w:p w14:paraId="6E685F4E">
      <w:pPr>
        <w:spacing w:line="302" w:lineRule="auto"/>
        <w:rPr>
          <w:rFonts w:ascii="Arial"/>
          <w:sz w:val="21"/>
        </w:rPr>
      </w:pPr>
    </w:p>
    <w:p w14:paraId="589FEF45">
      <w:pPr>
        <w:spacing w:line="2910" w:lineRule="exact"/>
        <w:ind w:firstLine="29"/>
      </w:pPr>
      <w:r>
        <w:rPr>
          <w:position w:val="-58"/>
        </w:rPr>
        <w:drawing>
          <wp:inline distT="0" distB="0" distL="0" distR="0">
            <wp:extent cx="4438650" cy="184721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4438675" cy="184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CD1E">
      <w:pPr>
        <w:pStyle w:val="7"/>
        <w:spacing w:before="215" w:line="221" w:lineRule="auto"/>
        <w:ind w:left="1882"/>
        <w:rPr>
          <w:rFonts w:ascii="黑体" w:hAnsi="黑体" w:eastAsia="黑体" w:cs="黑体"/>
        </w:rPr>
      </w:pPr>
      <w:r>
        <w:rPr>
          <w:b/>
          <w:bCs/>
          <w:spacing w:val="3"/>
        </w:rPr>
        <w:t>图</w:t>
      </w:r>
      <w:r>
        <w:rPr>
          <w:spacing w:val="-19"/>
        </w:rPr>
        <w:t xml:space="preserve"> </w:t>
      </w:r>
      <w:r>
        <w:rPr>
          <w:b/>
          <w:bCs/>
          <w:spacing w:val="3"/>
        </w:rPr>
        <w:t>3</w:t>
      </w:r>
      <w:r>
        <w:rPr>
          <w:spacing w:val="-38"/>
        </w:rPr>
        <w:t xml:space="preserve"> </w:t>
      </w:r>
      <w:r>
        <w:rPr>
          <w:b/>
          <w:bCs/>
          <w:spacing w:val="3"/>
        </w:rPr>
        <w:t>-</w:t>
      </w:r>
      <w:r>
        <w:rPr>
          <w:spacing w:val="-24"/>
        </w:rPr>
        <w:t xml:space="preserve"> </w:t>
      </w:r>
      <w:r>
        <w:rPr>
          <w:b/>
          <w:bCs/>
          <w:spacing w:val="3"/>
        </w:rPr>
        <w:t>1</w:t>
      </w:r>
      <w:r>
        <w:rPr>
          <w:spacing w:val="-35"/>
        </w:rPr>
        <w:t xml:space="preserve"> </w:t>
      </w:r>
      <w:r>
        <w:rPr>
          <w:b/>
          <w:bCs/>
          <w:spacing w:val="3"/>
        </w:rPr>
        <w:t>0</w:t>
      </w:r>
      <w:r>
        <w:rPr>
          <w:spacing w:val="1"/>
        </w:rPr>
        <w:t xml:space="preserve">  </w:t>
      </w:r>
      <w:r>
        <w:rPr>
          <w:rFonts w:ascii="黑体" w:hAnsi="黑体" w:eastAsia="黑体" w:cs="黑体"/>
          <w:spacing w:val="3"/>
        </w:rPr>
        <w:t>要克服畏高情形的两只股票走势</w:t>
      </w:r>
    </w:p>
    <w:p w14:paraId="69FBF2E6">
      <w:pPr>
        <w:spacing w:line="276" w:lineRule="auto"/>
        <w:rPr>
          <w:rFonts w:ascii="Arial"/>
          <w:sz w:val="21"/>
        </w:rPr>
      </w:pPr>
    </w:p>
    <w:p w14:paraId="0AFA0829">
      <w:pPr>
        <w:pStyle w:val="7"/>
        <w:spacing w:before="72" w:line="306" w:lineRule="auto"/>
        <w:ind w:right="89" w:firstLine="429"/>
        <w:rPr>
          <w:sz w:val="22"/>
          <w:szCs w:val="22"/>
        </w:rPr>
      </w:pPr>
      <w:r>
        <w:rPr>
          <w:spacing w:val="-2"/>
          <w:sz w:val="22"/>
          <w:szCs w:val="22"/>
        </w:rPr>
        <w:t>图3—10中的两只个股的周线和日线视觉上</w:t>
      </w:r>
      <w:r>
        <w:rPr>
          <w:spacing w:val="-3"/>
          <w:sz w:val="22"/>
          <w:szCs w:val="22"/>
        </w:rPr>
        <w:t>的差别还是比较大的。日线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级别的形态，对于畏高的人难以接受，但这恰恰是职业</w:t>
      </w:r>
      <w:r>
        <w:rPr>
          <w:spacing w:val="-18"/>
          <w:sz w:val="22"/>
          <w:szCs w:val="22"/>
        </w:rPr>
        <w:t>交易者的机会。</w:t>
      </w:r>
    </w:p>
    <w:p w14:paraId="256CC365">
      <w:pPr>
        <w:spacing w:line="226" w:lineRule="auto"/>
        <w:ind w:left="429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pacing w:val="-2"/>
          <w:sz w:val="22"/>
          <w:szCs w:val="22"/>
        </w:rPr>
        <w:t>(二)注重小市值</w:t>
      </w:r>
    </w:p>
    <w:p w14:paraId="3B53322F">
      <w:pPr>
        <w:pStyle w:val="7"/>
        <w:spacing w:before="98" w:line="311" w:lineRule="auto"/>
        <w:ind w:right="94" w:firstLine="429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趋势大牛股多数产生于小市值股中，最好观察在最低位时只有30亿～50</w:t>
      </w:r>
      <w:r>
        <w:rPr>
          <w:spacing w:val="7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亿元盘子的个股，因为只有小市值才有翻倍空</w:t>
      </w:r>
      <w:r>
        <w:rPr>
          <w:spacing w:val="-13"/>
          <w:sz w:val="22"/>
          <w:szCs w:val="22"/>
        </w:rPr>
        <w:t>间。但是，满足八个技术特征更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关键。</w:t>
      </w:r>
    </w:p>
    <w:p w14:paraId="3CE58896">
      <w:pPr>
        <w:pStyle w:val="7"/>
        <w:spacing w:before="2" w:line="311" w:lineRule="auto"/>
        <w:ind w:right="95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所以，一只个股如果突破平台线，其市值在50亿元以下，平台上面的图形</w:t>
      </w:r>
      <w:r>
        <w:rPr>
          <w:spacing w:val="17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已经没有压力盘，就是一只趋势非常漂亮，潜力</w:t>
      </w:r>
      <w:r>
        <w:rPr>
          <w:spacing w:val="-19"/>
          <w:sz w:val="22"/>
          <w:szCs w:val="22"/>
        </w:rPr>
        <w:t>巨大的个股。当然，不能把市值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绝对化，有些中市值机构股也存在走出趋势牛股的潜力。</w:t>
      </w:r>
    </w:p>
    <w:p w14:paraId="3E510B0D">
      <w:pPr>
        <w:spacing w:before="2" w:line="224" w:lineRule="auto"/>
        <w:ind w:left="429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pacing w:val="1"/>
          <w:sz w:val="22"/>
          <w:szCs w:val="22"/>
        </w:rPr>
        <w:t>(三)掌握</w:t>
      </w:r>
      <w:r>
        <w:rPr>
          <w:rFonts w:ascii="Times New Roman" w:hAnsi="Times New Roman" w:eastAsia="Times New Roman" w:cs="Times New Roman"/>
          <w:sz w:val="22"/>
          <w:szCs w:val="22"/>
        </w:rPr>
        <w:t>RSI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KaiTi" w:hAnsi="KaiTi" w:eastAsia="KaiTi" w:cs="KaiTi"/>
          <w:spacing w:val="1"/>
          <w:sz w:val="22"/>
          <w:szCs w:val="22"/>
        </w:rPr>
        <w:t>与</w:t>
      </w:r>
      <w:r>
        <w:rPr>
          <w:rFonts w:ascii="KaiTi" w:hAnsi="KaiTi" w:eastAsia="KaiTi" w:cs="KaiTi"/>
          <w:spacing w:val="-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RS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KaiTi" w:hAnsi="KaiTi" w:eastAsia="KaiTi" w:cs="KaiTi"/>
          <w:spacing w:val="1"/>
          <w:sz w:val="22"/>
          <w:szCs w:val="22"/>
        </w:rPr>
        <w:t>指标运用</w:t>
      </w:r>
    </w:p>
    <w:p w14:paraId="760044D5">
      <w:pPr>
        <w:pStyle w:val="7"/>
        <w:spacing w:before="87" w:line="312" w:lineRule="auto"/>
        <w:ind w:right="87" w:firstLine="429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11"/>
          <w:sz w:val="22"/>
          <w:szCs w:val="22"/>
        </w:rPr>
        <w:t xml:space="preserve">RSI </w:t>
      </w:r>
      <w:r>
        <w:rPr>
          <w:spacing w:val="-11"/>
          <w:sz w:val="22"/>
          <w:szCs w:val="22"/>
        </w:rPr>
        <w:t>指标在判断个股短期趋势强度中有非常重要的指导意义。</w:t>
      </w:r>
      <w:r>
        <w:rPr>
          <w:spacing w:val="-12"/>
          <w:sz w:val="22"/>
          <w:szCs w:val="22"/>
        </w:rPr>
        <w:t>所以，务必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要学习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RSI </w:t>
      </w:r>
      <w:r>
        <w:rPr>
          <w:spacing w:val="-10"/>
          <w:sz w:val="22"/>
          <w:szCs w:val="22"/>
        </w:rPr>
        <w:t>指标的使用技巧，对于波段买卖点</w:t>
      </w:r>
      <w:r>
        <w:rPr>
          <w:spacing w:val="-11"/>
          <w:sz w:val="22"/>
          <w:szCs w:val="22"/>
        </w:rPr>
        <w:t>的参考才有把握。在趋势牛股突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破平台前后，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RSI </w:t>
      </w:r>
      <w:r>
        <w:rPr>
          <w:spacing w:val="-9"/>
          <w:sz w:val="22"/>
          <w:szCs w:val="22"/>
        </w:rPr>
        <w:t>周指标或日指标必须上攻70值，并站上70值。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RSI </w:t>
      </w:r>
      <w:r>
        <w:rPr>
          <w:spacing w:val="-9"/>
          <w:sz w:val="22"/>
          <w:szCs w:val="22"/>
        </w:rPr>
        <w:t>指标要与</w:t>
      </w:r>
      <w:r>
        <w:rPr>
          <w:spacing w:val="1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RS</w:t>
      </w:r>
      <w:r>
        <w:rPr>
          <w:rFonts w:ascii="Times New Roman" w:hAnsi="Times New Roman" w:eastAsia="Times New Roman" w:cs="Times New Roman"/>
          <w:spacing w:val="-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指标配合使用。在突破平台前，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RS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必须处于0值以上的正区，</w:t>
      </w:r>
      <w:r>
        <w:rPr>
          <w:spacing w:val="-3"/>
          <w:sz w:val="22"/>
          <w:szCs w:val="22"/>
        </w:rPr>
        <w:t>并且趋势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向上。</w:t>
      </w:r>
    </w:p>
    <w:p w14:paraId="1D59204A">
      <w:pPr>
        <w:spacing w:before="6" w:line="223" w:lineRule="auto"/>
        <w:ind w:left="429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pacing w:val="-1"/>
          <w:sz w:val="22"/>
          <w:szCs w:val="22"/>
        </w:rPr>
        <w:t>(四)理解站上长期均线的作用</w:t>
      </w:r>
    </w:p>
    <w:p w14:paraId="5DD025B5">
      <w:pPr>
        <w:pStyle w:val="7"/>
        <w:spacing w:before="110" w:line="317" w:lineRule="auto"/>
        <w:ind w:firstLine="429"/>
        <w:jc w:val="both"/>
        <w:rPr>
          <w:sz w:val="21"/>
          <w:szCs w:val="21"/>
        </w:rPr>
      </w:pPr>
      <w:r>
        <w:rPr>
          <w:sz w:val="21"/>
          <w:szCs w:val="21"/>
        </w:rPr>
        <w:t>趋势牛股必须站上10周均线与30周均线。这里面需要理解“站上”二字。</w:t>
      </w:r>
      <w:r>
        <w:rPr>
          <w:spacing w:val="4"/>
          <w:sz w:val="21"/>
          <w:szCs w:val="21"/>
        </w:rPr>
        <w:t xml:space="preserve"> </w:t>
      </w:r>
      <w:r>
        <w:rPr>
          <w:spacing w:val="-8"/>
          <w:sz w:val="21"/>
          <w:szCs w:val="21"/>
        </w:rPr>
        <w:t>在实战中很多人面临的问题是：在熊末修复期，可能有些股在底部上来</w:t>
      </w:r>
      <w:r>
        <w:rPr>
          <w:spacing w:val="-9"/>
          <w:sz w:val="21"/>
          <w:szCs w:val="21"/>
        </w:rPr>
        <w:t>后，</w:t>
      </w:r>
      <w:r>
        <w:rPr>
          <w:rFonts w:ascii="Times New Roman" w:hAnsi="Times New Roman" w:eastAsia="Times New Roman" w:cs="Times New Roman"/>
          <w:spacing w:val="-9"/>
          <w:sz w:val="21"/>
          <w:szCs w:val="21"/>
        </w:rPr>
        <w:t>K</w:t>
      </w:r>
      <w:r>
        <w:rPr>
          <w:rFonts w:ascii="FangSong" w:hAnsi="FangSong" w:eastAsia="FangSong" w:cs="FangSong"/>
          <w:spacing w:val="-9"/>
          <w:sz w:val="21"/>
          <w:szCs w:val="21"/>
        </w:rPr>
        <w:t>线</w:t>
      </w:r>
      <w:r>
        <w:rPr>
          <w:rFonts w:ascii="FangSong" w:hAnsi="FangSong" w:eastAsia="FangSong" w:cs="FangSong"/>
          <w:sz w:val="21"/>
          <w:szCs w:val="21"/>
        </w:rPr>
        <w:t xml:space="preserve">  </w:t>
      </w:r>
      <w:r>
        <w:rPr>
          <w:spacing w:val="10"/>
          <w:sz w:val="21"/>
          <w:szCs w:val="21"/>
        </w:rPr>
        <w:t>就已经突破30周均线，就误认为已经站上30周均线。是否</w:t>
      </w:r>
      <w:r>
        <w:rPr>
          <w:spacing w:val="9"/>
          <w:sz w:val="21"/>
          <w:szCs w:val="21"/>
        </w:rPr>
        <w:t>有效站上30周均</w:t>
      </w:r>
    </w:p>
    <w:p w14:paraId="6D207A91">
      <w:pPr>
        <w:spacing w:line="317" w:lineRule="auto"/>
        <w:rPr>
          <w:sz w:val="21"/>
          <w:szCs w:val="21"/>
        </w:rPr>
        <w:sectPr>
          <w:pgSz w:w="8770" w:h="13360"/>
          <w:pgMar w:top="992" w:right="414" w:bottom="665" w:left="1199" w:header="731" w:footer="503" w:gutter="0"/>
          <w:cols w:space="720" w:num="1"/>
        </w:sectPr>
      </w:pPr>
    </w:p>
    <w:p w14:paraId="1844DD72">
      <w:pPr>
        <w:spacing w:before="275" w:line="222" w:lineRule="auto"/>
        <w:ind w:left="561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2"/>
          <w:sz w:val="17"/>
          <w:szCs w:val="17"/>
        </w:rPr>
        <w:t>第三章</w:t>
      </w:r>
      <w:r>
        <w:rPr>
          <w:rFonts w:ascii="FangSong" w:hAnsi="FangSong" w:eastAsia="FangSong" w:cs="FangSong"/>
          <w:spacing w:val="6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2"/>
          <w:sz w:val="17"/>
          <w:szCs w:val="17"/>
        </w:rPr>
        <w:t>趋势战法</w:t>
      </w:r>
    </w:p>
    <w:p w14:paraId="55C96B16">
      <w:pPr>
        <w:spacing w:line="443" w:lineRule="auto"/>
        <w:rPr>
          <w:rFonts w:ascii="Arial"/>
          <w:sz w:val="21"/>
        </w:rPr>
      </w:pPr>
    </w:p>
    <w:p w14:paraId="48553338">
      <w:pPr>
        <w:pStyle w:val="7"/>
        <w:spacing w:before="71" w:line="219" w:lineRule="auto"/>
        <w:rPr>
          <w:sz w:val="22"/>
          <w:szCs w:val="22"/>
        </w:rPr>
      </w:pPr>
      <w:r>
        <w:rPr>
          <w:spacing w:val="-16"/>
          <w:sz w:val="22"/>
          <w:szCs w:val="22"/>
        </w:rPr>
        <w:t>线不能这么简单地理解，必须结合阶段性与图形形态来</w:t>
      </w:r>
      <w:r>
        <w:rPr>
          <w:spacing w:val="-17"/>
          <w:sz w:val="22"/>
          <w:szCs w:val="22"/>
        </w:rPr>
        <w:t>认识。</w:t>
      </w:r>
    </w:p>
    <w:p w14:paraId="2610C7DB">
      <w:pPr>
        <w:pStyle w:val="7"/>
        <w:spacing w:before="127" w:line="303" w:lineRule="auto"/>
        <w:ind w:right="135" w:firstLine="420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股价在底部上来第一次穿越30周均线的实质是开始进入技术修复期。并</w:t>
      </w:r>
      <w:r>
        <w:rPr>
          <w:spacing w:val="2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不是真正的站稳，大家从形态上就可以辨识，技术指标是需要修复的。只有通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过反复在30周均线与10周均线上下交叉震荡收敛，短</w:t>
      </w:r>
      <w:r>
        <w:rPr>
          <w:spacing w:val="-7"/>
          <w:sz w:val="22"/>
          <w:szCs w:val="22"/>
        </w:rPr>
        <w:t>期图形走势健康，10周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均线与30周均线在底部开始纠缠，最后股价开始走出图形突破平台，10周均线</w:t>
      </w:r>
      <w:r>
        <w:rPr>
          <w:spacing w:val="1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上穿30周均线，两线呈向上发散形态，这才叫稳</w:t>
      </w:r>
      <w:r>
        <w:rPr>
          <w:spacing w:val="-7"/>
          <w:sz w:val="22"/>
          <w:szCs w:val="22"/>
        </w:rPr>
        <w:t>定站上30周均线，图3-11显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示的10周与30周均线的震荡走势，可以</w:t>
      </w:r>
      <w:r>
        <w:rPr>
          <w:spacing w:val="-15"/>
          <w:sz w:val="22"/>
          <w:szCs w:val="22"/>
        </w:rPr>
        <w:t>让大家更好地理解“站上”的含义。</w:t>
      </w:r>
    </w:p>
    <w:p w14:paraId="52C36C50">
      <w:pPr>
        <w:pStyle w:val="7"/>
        <w:spacing w:before="147" w:line="3160" w:lineRule="exact"/>
        <w:ind w:firstLine="60"/>
      </w:pPr>
      <w:r>
        <w:rPr>
          <w:position w:val="-63"/>
        </w:rPr>
        <w:pict>
          <v:group id="_x0000_s1182" o:spid="_x0000_s1182" o:spt="203" style="height:158pt;width:348.5pt;" coordsize="6970,3160">
            <o:lock v:ext="edit"/>
            <v:shape id="_x0000_s1183" o:spid="_x0000_s1183" o:spt="75" type="#_x0000_t75" style="position:absolute;left:0;top:0;height:3160;width:6970;" filled="f" stroked="f" coordsize="21600,21600">
              <v:path/>
              <v:fill on="f" focussize="0,0"/>
              <v:stroke on="f"/>
              <v:imagedata r:id="rId620" o:title=""/>
              <o:lock v:ext="edit" aspectratio="t"/>
            </v:shape>
            <v:shape id="_x0000_s1184" o:spid="_x0000_s1184" o:spt="202" type="#_x0000_t202" style="position:absolute;left:4421;top:253;height:2751;width:219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19E365">
                    <w:pPr>
                      <w:spacing w:before="20" w:line="188" w:lineRule="auto"/>
                      <w:ind w:left="1828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1"/>
                        <w:szCs w:val="11"/>
                      </w:rPr>
                      <w:t>16.12—</w:t>
                    </w:r>
                  </w:p>
                  <w:p w14:paraId="097071A3"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</w:p>
                  <w:p w14:paraId="60D1FE55"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</w:p>
                  <w:p w14:paraId="165E23DA">
                    <w:pPr>
                      <w:spacing w:before="42" w:line="219" w:lineRule="auto"/>
                      <w:ind w:left="20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13"/>
                        <w:szCs w:val="13"/>
                      </w:rPr>
                      <w:t>两线反复交叉震荡收敛</w:t>
                    </w:r>
                  </w:p>
                  <w:p w14:paraId="04083501">
                    <w:pPr>
                      <w:spacing w:before="76" w:line="219" w:lineRule="auto"/>
                      <w:ind w:left="20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8"/>
                        <w:sz w:val="13"/>
                        <w:szCs w:val="13"/>
                      </w:rPr>
                      <w:t>最后随短期图形收敛纠缠</w:t>
                    </w:r>
                  </w:p>
                  <w:p w14:paraId="2D429B82"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</w:p>
                  <w:p w14:paraId="7F31CE71"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</w:p>
                  <w:p w14:paraId="425FEA11"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</w:p>
                  <w:p w14:paraId="4CE95E0B"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</w:p>
                  <w:p w14:paraId="0F9500F0">
                    <w:pPr>
                      <w:spacing w:before="42" w:line="221" w:lineRule="auto"/>
                      <w:ind w:left="758"/>
                      <w:rPr>
                        <w:rFonts w:ascii="黑体" w:hAnsi="黑体" w:eastAsia="黑体" w:cs="黑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6"/>
                        <w:sz w:val="13"/>
                        <w:szCs w:val="13"/>
                      </w:rPr>
                      <w:t>完成技术指标修复</w:t>
                    </w:r>
                  </w:p>
                  <w:p w14:paraId="3A41BDE9">
                    <w:pPr>
                      <w:spacing w:before="103" w:line="219" w:lineRule="auto"/>
                      <w:ind w:left="760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6"/>
                        <w:sz w:val="13"/>
                        <w:szCs w:val="13"/>
                      </w:rPr>
                      <w:t>两线向上发散</w:t>
                    </w:r>
                  </w:p>
                </w:txbxContent>
              </v:textbox>
            </v:shape>
            <v:shape id="_x0000_s1185" o:spid="_x0000_s1185" o:spt="202" type="#_x0000_t202" style="position:absolute;left:1481;top:1243;height:170;width:55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4066F2">
                    <w:pPr>
                      <w:spacing w:before="20" w:line="220" w:lineRule="auto"/>
                      <w:ind w:left="20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sz w:val="13"/>
                        <w:szCs w:val="13"/>
                      </w:rPr>
                      <w:t>30周均线</w:t>
                    </w:r>
                  </w:p>
                </w:txbxContent>
              </v:textbox>
            </v:shape>
            <v:shape id="_x0000_s1186" o:spid="_x0000_s1186" o:spt="202" type="#_x0000_t202" style="position:absolute;left:2241;top:2573;height:170;width:5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5E0367">
                    <w:pPr>
                      <w:spacing w:before="20" w:line="220" w:lineRule="auto"/>
                      <w:ind w:left="20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13"/>
                        <w:szCs w:val="13"/>
                      </w:rPr>
                      <w:t>10周均线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C0317CC">
      <w:pPr>
        <w:spacing w:before="214" w:line="221" w:lineRule="auto"/>
        <w:ind w:left="2382"/>
        <w:rPr>
          <w:rFonts w:ascii="黑体" w:hAnsi="黑体" w:eastAsia="黑体" w:cs="黑体"/>
          <w:sz w:val="17"/>
          <w:szCs w:val="17"/>
        </w:rPr>
      </w:pPr>
      <w:r>
        <w:rPr>
          <w:rFonts w:ascii="FangSong" w:hAnsi="FangSong" w:eastAsia="FangSong" w:cs="FangSong"/>
          <w:b/>
          <w:bCs/>
          <w:spacing w:val="4"/>
          <w:sz w:val="17"/>
          <w:szCs w:val="17"/>
        </w:rPr>
        <w:t>图</w:t>
      </w:r>
      <w:r>
        <w:rPr>
          <w:rFonts w:ascii="FangSong" w:hAnsi="FangSong" w:eastAsia="FangSong" w:cs="FangSong"/>
          <w:spacing w:val="-11"/>
          <w:sz w:val="17"/>
          <w:szCs w:val="17"/>
        </w:rPr>
        <w:t xml:space="preserve"> </w:t>
      </w:r>
      <w:r>
        <w:rPr>
          <w:rFonts w:ascii="FangSong" w:hAnsi="FangSong" w:eastAsia="FangSong" w:cs="FangSong"/>
          <w:b/>
          <w:bCs/>
          <w:spacing w:val="4"/>
          <w:sz w:val="17"/>
          <w:szCs w:val="17"/>
        </w:rPr>
        <w:t>3</w:t>
      </w:r>
      <w:r>
        <w:rPr>
          <w:rFonts w:ascii="FangSong" w:hAnsi="FangSong" w:eastAsia="FangSong" w:cs="FangSong"/>
          <w:spacing w:val="-28"/>
          <w:sz w:val="17"/>
          <w:szCs w:val="17"/>
        </w:rPr>
        <w:t xml:space="preserve"> </w:t>
      </w:r>
      <w:r>
        <w:rPr>
          <w:rFonts w:ascii="FangSong" w:hAnsi="FangSong" w:eastAsia="FangSong" w:cs="FangSong"/>
          <w:b/>
          <w:bCs/>
          <w:spacing w:val="4"/>
          <w:sz w:val="17"/>
          <w:szCs w:val="17"/>
        </w:rPr>
        <w:t>-</w:t>
      </w:r>
      <w:r>
        <w:rPr>
          <w:rFonts w:ascii="FangSong" w:hAnsi="FangSong" w:eastAsia="FangSong" w:cs="FangSong"/>
          <w:spacing w:val="-13"/>
          <w:sz w:val="17"/>
          <w:szCs w:val="17"/>
        </w:rPr>
        <w:t xml:space="preserve"> </w:t>
      </w:r>
      <w:r>
        <w:rPr>
          <w:rFonts w:ascii="FangSong" w:hAnsi="FangSong" w:eastAsia="FangSong" w:cs="FangSong"/>
          <w:b/>
          <w:bCs/>
          <w:spacing w:val="4"/>
          <w:sz w:val="17"/>
          <w:szCs w:val="17"/>
        </w:rPr>
        <w:t>1</w:t>
      </w:r>
      <w:r>
        <w:rPr>
          <w:rFonts w:ascii="FangSong" w:hAnsi="FangSong" w:eastAsia="FangSong" w:cs="FangSong"/>
          <w:spacing w:val="-14"/>
          <w:sz w:val="17"/>
          <w:szCs w:val="17"/>
        </w:rPr>
        <w:t xml:space="preserve"> </w:t>
      </w:r>
      <w:r>
        <w:rPr>
          <w:rFonts w:ascii="FangSong" w:hAnsi="FangSong" w:eastAsia="FangSong" w:cs="FangSong"/>
          <w:b/>
          <w:bCs/>
          <w:spacing w:val="4"/>
          <w:sz w:val="17"/>
          <w:szCs w:val="17"/>
        </w:rPr>
        <w:t>1</w:t>
      </w:r>
      <w:r>
        <w:rPr>
          <w:rFonts w:ascii="FangSong" w:hAnsi="FangSong" w:eastAsia="FangSong" w:cs="FangSong"/>
          <w:spacing w:val="69"/>
          <w:w w:val="101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4"/>
          <w:sz w:val="17"/>
          <w:szCs w:val="17"/>
        </w:rPr>
        <w:t>站上30周均线示意</w:t>
      </w:r>
    </w:p>
    <w:p w14:paraId="1D7AA7AD">
      <w:pPr>
        <w:spacing w:line="319" w:lineRule="auto"/>
        <w:rPr>
          <w:rFonts w:ascii="Arial"/>
          <w:sz w:val="21"/>
        </w:rPr>
      </w:pPr>
    </w:p>
    <w:p w14:paraId="17B6DF71">
      <w:pPr>
        <w:spacing w:before="65" w:line="224" w:lineRule="auto"/>
        <w:ind w:left="480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pacing w:val="16"/>
          <w:sz w:val="20"/>
          <w:szCs w:val="20"/>
        </w:rPr>
        <w:t>(五)掌握突破平台时的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pacing w:val="59"/>
          <w:sz w:val="20"/>
          <w:szCs w:val="20"/>
        </w:rPr>
        <w:t xml:space="preserve"> </w:t>
      </w:r>
      <w:r>
        <w:rPr>
          <w:rFonts w:ascii="KaiTi" w:hAnsi="KaiTi" w:eastAsia="KaiTi" w:cs="KaiTi"/>
          <w:spacing w:val="16"/>
          <w:sz w:val="20"/>
          <w:szCs w:val="20"/>
        </w:rPr>
        <w:t>线形态</w:t>
      </w:r>
    </w:p>
    <w:p w14:paraId="46C55A46">
      <w:pPr>
        <w:pStyle w:val="7"/>
        <w:spacing w:before="72" w:line="321" w:lineRule="auto"/>
        <w:ind w:left="49" w:firstLine="40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股价突破平台的形态主要有两类：一类是直上型，另一类是回踏型。直上</w:t>
      </w:r>
      <w:r>
        <w:rPr>
          <w:spacing w:val="7"/>
          <w:sz w:val="22"/>
          <w:szCs w:val="22"/>
        </w:rPr>
        <w:t xml:space="preserve">  </w:t>
      </w:r>
      <w:r>
        <w:rPr>
          <w:spacing w:val="-17"/>
          <w:sz w:val="22"/>
          <w:szCs w:val="22"/>
        </w:rPr>
        <w:t>型是在突破平台线后，</w:t>
      </w:r>
      <w:r>
        <w:rPr>
          <w:color w:val="505050"/>
          <w:spacing w:val="-17"/>
          <w:sz w:val="22"/>
          <w:szCs w:val="22"/>
        </w:rPr>
        <w:t>股价就直接往上走，</w:t>
      </w:r>
      <w:r>
        <w:rPr>
          <w:spacing w:val="-17"/>
          <w:sz w:val="22"/>
          <w:szCs w:val="22"/>
        </w:rPr>
        <w:t>暂不回调。而回踏型是突破平台后，</w:t>
      </w:r>
      <w:r>
        <w:rPr>
          <w:spacing w:val="13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短期内股价需要整理回踏20 日均线，然向再往上走，这种形态较多(见</w:t>
      </w:r>
      <w:r>
        <w:rPr>
          <w:spacing w:val="1"/>
          <w:sz w:val="22"/>
          <w:szCs w:val="22"/>
        </w:rPr>
        <w:t xml:space="preserve">  </w:t>
      </w:r>
      <w:r>
        <w:rPr>
          <w:spacing w:val="-3"/>
          <w:sz w:val="22"/>
          <w:szCs w:val="22"/>
        </w:rPr>
        <w:t>图3—12)。</w:t>
      </w:r>
    </w:p>
    <w:p w14:paraId="5DAA6DAF">
      <w:pPr>
        <w:spacing w:line="321" w:lineRule="auto"/>
        <w:rPr>
          <w:sz w:val="22"/>
          <w:szCs w:val="22"/>
        </w:rPr>
        <w:sectPr>
          <w:pgSz w:w="8740" w:h="13340"/>
          <w:pgMar w:top="400" w:right="1010" w:bottom="725" w:left="559" w:header="0" w:footer="563" w:gutter="0"/>
          <w:cols w:space="720" w:num="1"/>
        </w:sectPr>
      </w:pPr>
    </w:p>
    <w:p w14:paraId="39AC8062">
      <w:pPr>
        <w:spacing w:line="311" w:lineRule="auto"/>
        <w:rPr>
          <w:rFonts w:ascii="Arial"/>
          <w:sz w:val="21"/>
        </w:rPr>
      </w:pPr>
    </w:p>
    <w:p w14:paraId="5765D107">
      <w:pPr>
        <w:spacing w:line="312" w:lineRule="auto"/>
        <w:rPr>
          <w:rFonts w:ascii="Arial"/>
          <w:sz w:val="21"/>
        </w:rPr>
      </w:pPr>
    </w:p>
    <w:p w14:paraId="1A61460A">
      <w:pPr>
        <w:spacing w:line="4680" w:lineRule="exact"/>
        <w:ind w:firstLine="669"/>
      </w:pPr>
      <w:r>
        <w:rPr>
          <w:position w:val="-93"/>
        </w:rPr>
        <w:drawing>
          <wp:inline distT="0" distB="0" distL="0" distR="0">
            <wp:extent cx="3670300" cy="297180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70327" cy="297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C173">
      <w:pPr>
        <w:spacing w:line="251" w:lineRule="auto"/>
        <w:rPr>
          <w:rFonts w:ascii="Arial"/>
          <w:sz w:val="21"/>
        </w:rPr>
      </w:pPr>
    </w:p>
    <w:p w14:paraId="4CC95109">
      <w:pPr>
        <w:spacing w:line="251" w:lineRule="auto"/>
        <w:rPr>
          <w:rFonts w:ascii="Arial"/>
          <w:sz w:val="21"/>
        </w:rPr>
      </w:pPr>
    </w:p>
    <w:p w14:paraId="2DC5FB90">
      <w:pPr>
        <w:spacing w:line="251" w:lineRule="auto"/>
        <w:rPr>
          <w:rFonts w:ascii="Arial"/>
          <w:sz w:val="21"/>
        </w:rPr>
      </w:pPr>
    </w:p>
    <w:p w14:paraId="3296265D">
      <w:pPr>
        <w:spacing w:line="251" w:lineRule="auto"/>
        <w:rPr>
          <w:rFonts w:ascii="Arial"/>
          <w:sz w:val="21"/>
        </w:rPr>
      </w:pPr>
    </w:p>
    <w:p w14:paraId="54970082">
      <w:pPr>
        <w:spacing w:line="251" w:lineRule="auto"/>
        <w:rPr>
          <w:rFonts w:ascii="Arial"/>
          <w:sz w:val="21"/>
        </w:rPr>
      </w:pPr>
    </w:p>
    <w:p w14:paraId="6C4C383B">
      <w:pPr>
        <w:pStyle w:val="7"/>
        <w:spacing w:before="42" w:line="220" w:lineRule="auto"/>
        <w:ind w:left="1639"/>
        <w:rPr>
          <w:sz w:val="13"/>
          <w:szCs w:val="13"/>
        </w:rPr>
      </w:pPr>
      <w:r>
        <w:rPr>
          <w:spacing w:val="-2"/>
          <w:sz w:val="13"/>
          <w:szCs w:val="13"/>
        </w:rPr>
        <w:t>平台线</w:t>
      </w:r>
    </w:p>
    <w:p w14:paraId="67322778">
      <w:pPr>
        <w:spacing w:line="260" w:lineRule="auto"/>
        <w:rPr>
          <w:rFonts w:ascii="Arial"/>
          <w:sz w:val="21"/>
        </w:rPr>
      </w:pPr>
    </w:p>
    <w:p w14:paraId="0EA54DC9">
      <w:pPr>
        <w:spacing w:line="260" w:lineRule="auto"/>
        <w:rPr>
          <w:rFonts w:ascii="Arial"/>
          <w:sz w:val="21"/>
        </w:rPr>
      </w:pPr>
    </w:p>
    <w:p w14:paraId="1C5A3FB0">
      <w:pPr>
        <w:spacing w:before="46" w:line="185" w:lineRule="auto"/>
        <w:ind w:left="6179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7</w:t>
      </w:r>
    </w:p>
    <w:p w14:paraId="61D9D01B">
      <w:pPr>
        <w:pStyle w:val="7"/>
        <w:spacing w:before="151" w:line="220" w:lineRule="auto"/>
        <w:ind w:left="3321"/>
        <w:rPr>
          <w:sz w:val="13"/>
          <w:szCs w:val="13"/>
        </w:rPr>
      </w:pPr>
      <w:r>
        <w:rPr>
          <w:b/>
          <w:bCs/>
          <w:spacing w:val="-4"/>
          <w:sz w:val="13"/>
          <w:szCs w:val="13"/>
        </w:rPr>
        <w:t>回踏20日线</w:t>
      </w:r>
    </w:p>
    <w:p w14:paraId="4BC1800A">
      <w:pPr>
        <w:spacing w:line="250" w:lineRule="auto"/>
        <w:rPr>
          <w:rFonts w:ascii="Arial"/>
          <w:sz w:val="21"/>
        </w:rPr>
      </w:pPr>
    </w:p>
    <w:p w14:paraId="56774BEC">
      <w:pPr>
        <w:spacing w:before="40" w:line="172" w:lineRule="auto"/>
        <w:ind w:left="5839"/>
        <w:rPr>
          <w:rFonts w:ascii="LiSu" w:hAnsi="LiSu" w:eastAsia="LiSu" w:cs="LiSu"/>
          <w:sz w:val="12"/>
          <w:szCs w:val="12"/>
        </w:rPr>
      </w:pPr>
      <w:r>
        <w:rPr>
          <w:rFonts w:ascii="LiSu" w:hAnsi="LiSu" w:eastAsia="LiSu" w:cs="LiSu"/>
          <w:spacing w:val="-3"/>
          <w:w w:val="93"/>
          <w:sz w:val="12"/>
          <w:szCs w:val="12"/>
        </w:rPr>
        <w:t>立盟</w:t>
      </w:r>
    </w:p>
    <w:p w14:paraId="72ACB6BF">
      <w:pPr>
        <w:spacing w:line="172" w:lineRule="auto"/>
        <w:rPr>
          <w:rFonts w:ascii="LiSu" w:hAnsi="LiSu" w:eastAsia="LiSu" w:cs="LiSu"/>
          <w:sz w:val="12"/>
          <w:szCs w:val="12"/>
        </w:rPr>
        <w:sectPr>
          <w:pgSz w:w="8770" w:h="13360"/>
          <w:pgMar w:top="932" w:right="1209" w:bottom="701" w:left="1110" w:header="671" w:footer="557" w:gutter="0"/>
          <w:cols w:space="720" w:num="1"/>
        </w:sectPr>
      </w:pPr>
    </w:p>
    <w:p w14:paraId="34FC76A6">
      <w:pPr>
        <w:spacing w:before="285" w:line="222" w:lineRule="auto"/>
        <w:ind w:left="558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1"/>
          <w:sz w:val="17"/>
          <w:szCs w:val="17"/>
        </w:rPr>
        <w:t>第三章</w:t>
      </w:r>
      <w:r>
        <w:rPr>
          <w:rFonts w:ascii="FangSong" w:hAnsi="FangSong" w:eastAsia="FangSong" w:cs="FangSong"/>
          <w:spacing w:val="58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1"/>
          <w:sz w:val="17"/>
          <w:szCs w:val="17"/>
        </w:rPr>
        <w:t>趋势战法</w:t>
      </w:r>
    </w:p>
    <w:p w14:paraId="4E35EA35">
      <w:pPr>
        <w:spacing w:line="317" w:lineRule="auto"/>
        <w:rPr>
          <w:rFonts w:ascii="Arial"/>
          <w:sz w:val="21"/>
        </w:rPr>
      </w:pPr>
    </w:p>
    <w:p w14:paraId="31C5C2F7">
      <w:pPr>
        <w:spacing w:line="318" w:lineRule="auto"/>
        <w:rPr>
          <w:rFonts w:ascii="Arial"/>
          <w:sz w:val="21"/>
        </w:rPr>
      </w:pPr>
    </w:p>
    <w:p w14:paraId="2AE3E74D">
      <w:pPr>
        <w:pStyle w:val="7"/>
        <w:spacing w:line="3790" w:lineRule="exact"/>
        <w:ind w:firstLine="640"/>
      </w:pPr>
      <w:r>
        <w:rPr>
          <w:position w:val="-75"/>
        </w:rPr>
        <w:pict>
          <v:group id="_x0000_s1187" o:spid="_x0000_s1187" o:spt="203" style="height:189.55pt;width:286pt;" coordsize="5720,3791">
            <o:lock v:ext="edit"/>
            <v:shape id="_x0000_s1188" o:spid="_x0000_s1188" o:spt="75" type="#_x0000_t75" style="position:absolute;left:0;top:0;height:3791;width:5720;" filled="f" stroked="f" coordsize="21600,21600">
              <v:path/>
              <v:fill on="f" focussize="0,0"/>
              <v:stroke on="f"/>
              <v:imagedata r:id="rId622" o:title=""/>
              <o:lock v:ext="edit" aspectratio="t"/>
            </v:shape>
            <v:shape id="_x0000_s1189" o:spid="_x0000_s1189" o:spt="202" type="#_x0000_t202" style="position:absolute;left:-20;top:-20;height:3831;width:57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746F51">
                    <w:pPr>
                      <w:spacing w:before="244" w:line="150" w:lineRule="exact"/>
                      <w:ind w:left="4209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position w:val="1"/>
                        <w:sz w:val="11"/>
                        <w:szCs w:val="11"/>
                      </w:rPr>
                      <w:t>56. 42—</w:t>
                    </w:r>
                  </w:p>
                  <w:p w14:paraId="61828065"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</w:p>
                  <w:p w14:paraId="142D16B9"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</w:p>
                  <w:p w14:paraId="6A995BCB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25A99449">
                    <w:pPr>
                      <w:spacing w:before="42" w:line="221" w:lineRule="auto"/>
                      <w:ind w:left="153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4"/>
                        <w:sz w:val="13"/>
                        <w:szCs w:val="13"/>
                      </w:rPr>
                      <w:t>突破平台</w:t>
                    </w:r>
                  </w:p>
                  <w:p w14:paraId="65B50B2F"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</w:p>
                  <w:p w14:paraId="4F5F8956"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</w:p>
                  <w:p w14:paraId="3BAFA245">
                    <w:pPr>
                      <w:spacing w:before="42" w:line="220" w:lineRule="auto"/>
                      <w:ind w:left="332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1"/>
                        <w:sz w:val="13"/>
                        <w:szCs w:val="13"/>
                      </w:rPr>
                      <w:t>回踏20日线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6C79987">
      <w:pPr>
        <w:pStyle w:val="7"/>
        <w:spacing w:before="193" w:line="222" w:lineRule="auto"/>
        <w:ind w:left="2132"/>
        <w:rPr>
          <w:rFonts w:ascii="黑体" w:hAnsi="黑体" w:eastAsia="黑体" w:cs="黑体"/>
          <w:sz w:val="18"/>
          <w:szCs w:val="18"/>
        </w:rPr>
      </w:pPr>
      <w:r>
        <w:rPr>
          <w:b/>
          <w:bCs/>
          <w:spacing w:val="-1"/>
          <w:sz w:val="18"/>
          <w:szCs w:val="18"/>
        </w:rPr>
        <w:t>图3</w:t>
      </w:r>
      <w:r>
        <w:rPr>
          <w:spacing w:val="-39"/>
          <w:sz w:val="18"/>
          <w:szCs w:val="18"/>
        </w:rPr>
        <w:t xml:space="preserve"> </w:t>
      </w:r>
      <w:r>
        <w:rPr>
          <w:b/>
          <w:bCs/>
          <w:spacing w:val="-1"/>
          <w:sz w:val="18"/>
          <w:szCs w:val="18"/>
        </w:rPr>
        <w:t>-</w:t>
      </w:r>
      <w:r>
        <w:rPr>
          <w:spacing w:val="-29"/>
          <w:sz w:val="18"/>
          <w:szCs w:val="18"/>
        </w:rPr>
        <w:t xml:space="preserve"> </w:t>
      </w:r>
      <w:r>
        <w:rPr>
          <w:b/>
          <w:bCs/>
          <w:spacing w:val="-1"/>
          <w:sz w:val="18"/>
          <w:szCs w:val="18"/>
        </w:rPr>
        <w:t>12</w:t>
      </w:r>
      <w:r>
        <w:rPr>
          <w:spacing w:val="84"/>
          <w:sz w:val="18"/>
          <w:szCs w:val="18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18"/>
          <w:szCs w:val="18"/>
        </w:rPr>
        <w:t>直上型与回踏型平台突破</w:t>
      </w:r>
    </w:p>
    <w:p w14:paraId="0E41920A">
      <w:pPr>
        <w:spacing w:line="287" w:lineRule="auto"/>
        <w:rPr>
          <w:rFonts w:ascii="Arial"/>
          <w:sz w:val="21"/>
        </w:rPr>
      </w:pPr>
    </w:p>
    <w:p w14:paraId="5E94BFEA">
      <w:pPr>
        <w:pStyle w:val="7"/>
        <w:spacing w:before="68" w:line="219" w:lineRule="auto"/>
        <w:ind w:left="430"/>
        <w:rPr>
          <w:sz w:val="21"/>
          <w:szCs w:val="21"/>
        </w:rPr>
      </w:pPr>
      <w:r>
        <w:rPr>
          <w:spacing w:val="-10"/>
          <w:sz w:val="21"/>
          <w:szCs w:val="21"/>
        </w:rPr>
        <w:t>不论是直上型，还是回踏型，趋势股都会给买入与补仓的机会。</w:t>
      </w:r>
    </w:p>
    <w:p w14:paraId="7A944948">
      <w:pPr>
        <w:spacing w:before="141" w:line="227" w:lineRule="auto"/>
        <w:ind w:left="459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pacing w:val="5"/>
          <w:sz w:val="21"/>
          <w:szCs w:val="21"/>
        </w:rPr>
        <w:t>(六)研究更多趋势大牛图形形态</w:t>
      </w:r>
    </w:p>
    <w:p w14:paraId="5F090D72">
      <w:pPr>
        <w:pStyle w:val="7"/>
        <w:spacing w:before="105" w:line="322" w:lineRule="auto"/>
        <w:ind w:right="20" w:firstLine="430"/>
        <w:jc w:val="both"/>
        <w:rPr>
          <w:sz w:val="21"/>
          <w:szCs w:val="21"/>
        </w:rPr>
      </w:pPr>
      <w:r>
        <w:rPr>
          <w:spacing w:val="-10"/>
          <w:sz w:val="21"/>
          <w:szCs w:val="21"/>
        </w:rPr>
        <w:t>上述案例都是非常典型的实战例子。在市场中，历史上的趋势牛股很多。要</w:t>
      </w:r>
      <w:r>
        <w:rPr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对趋势技术有深入的掌握，需要大家对更多历史趋势牛股的形态</w:t>
      </w:r>
      <w:r>
        <w:rPr>
          <w:spacing w:val="-10"/>
          <w:sz w:val="21"/>
          <w:szCs w:val="21"/>
        </w:rPr>
        <w:t>进行研究。对形</w:t>
      </w:r>
      <w:r>
        <w:rPr>
          <w:sz w:val="21"/>
          <w:szCs w:val="21"/>
        </w:rPr>
        <w:t xml:space="preserve"> </w:t>
      </w:r>
      <w:r>
        <w:rPr>
          <w:spacing w:val="-11"/>
          <w:sz w:val="21"/>
          <w:szCs w:val="21"/>
        </w:rPr>
        <w:t>态研究有深入功底的交易高手，可以一眼就能识别</w:t>
      </w:r>
      <w:r>
        <w:rPr>
          <w:spacing w:val="-12"/>
          <w:sz w:val="21"/>
          <w:szCs w:val="21"/>
        </w:rPr>
        <w:t>出个股的主趋势和质量。</w:t>
      </w:r>
    </w:p>
    <w:p w14:paraId="2A93ADFE">
      <w:pPr>
        <w:pStyle w:val="7"/>
        <w:spacing w:before="3" w:line="311" w:lineRule="auto"/>
        <w:ind w:firstLine="43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很多</w:t>
      </w:r>
      <w:r>
        <w:rPr>
          <w:spacing w:val="-13"/>
          <w:sz w:val="22"/>
          <w:szCs w:val="22"/>
        </w:rPr>
        <w:t>不懂图形的人认为图形不重要，这是非常错误的认识，一</w:t>
      </w:r>
      <w:r>
        <w:rPr>
          <w:spacing w:val="-14"/>
          <w:sz w:val="22"/>
          <w:szCs w:val="22"/>
        </w:rPr>
        <w:t>定要区分</w:t>
      </w:r>
      <w:r>
        <w:rPr>
          <w:spacing w:val="-12"/>
          <w:sz w:val="22"/>
          <w:szCs w:val="22"/>
        </w:rPr>
        <w:t>环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境和个股。在熊市中，图形没有那么重要，甚至可能是坑。</w:t>
      </w:r>
      <w:r>
        <w:rPr>
          <w:spacing w:val="-20"/>
          <w:sz w:val="22"/>
          <w:szCs w:val="22"/>
        </w:rPr>
        <w:t>但是在牛市中，在趋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势股的判断上，图形就显得极为重要。</w:t>
      </w:r>
    </w:p>
    <w:p w14:paraId="6236E32F">
      <w:pPr>
        <w:spacing w:before="183" w:line="221" w:lineRule="auto"/>
        <w:ind w:left="45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2"/>
          <w:sz w:val="22"/>
          <w:szCs w:val="22"/>
        </w:rPr>
        <w:t>三、一种简单高效的方法</w:t>
      </w:r>
    </w:p>
    <w:p w14:paraId="0FE267F0">
      <w:pPr>
        <w:pStyle w:val="7"/>
        <w:spacing w:before="285" w:line="311" w:lineRule="auto"/>
        <w:ind w:right="2" w:firstLine="459"/>
        <w:jc w:val="both"/>
        <w:rPr>
          <w:sz w:val="22"/>
          <w:szCs w:val="22"/>
        </w:rPr>
      </w:pPr>
      <w:r>
        <w:rPr>
          <w:spacing w:val="-8"/>
          <w:sz w:val="22"/>
          <w:szCs w:val="22"/>
        </w:rPr>
        <w:t>除了上述策略外，对机构趋势大牛股趋势的判断还有一种简单高效的方</w:t>
      </w:r>
      <w:r>
        <w:rPr>
          <w:spacing w:val="15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法，就是运用布林线与波浪结构分析。所有中长线趋势大</w:t>
      </w:r>
      <w:r>
        <w:rPr>
          <w:spacing w:val="-14"/>
          <w:sz w:val="22"/>
          <w:szCs w:val="22"/>
        </w:rPr>
        <w:t>牛股，在趋势上都有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两个共同的特征。一是所有中长线大牛股一定是在布林线周线中轨之上运行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的，且中轨的方向向上，呈角度逐渐加大的上涨态势，且布林</w:t>
      </w:r>
      <w:r>
        <w:rPr>
          <w:spacing w:val="-20"/>
          <w:sz w:val="22"/>
          <w:szCs w:val="22"/>
        </w:rPr>
        <w:t>线多呈喇叭花的开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放形态。二是所有中长线大牛股一定会呈现波浪结构上涨，这是必然的。</w:t>
      </w:r>
    </w:p>
    <w:p w14:paraId="54BD62EF">
      <w:pPr>
        <w:pStyle w:val="7"/>
        <w:spacing w:before="1" w:line="219" w:lineRule="auto"/>
        <w:ind w:left="459"/>
        <w:rPr>
          <w:sz w:val="22"/>
          <w:szCs w:val="22"/>
        </w:rPr>
      </w:pPr>
      <w:r>
        <w:rPr>
          <w:spacing w:val="4"/>
          <w:sz w:val="22"/>
          <w:szCs w:val="22"/>
        </w:rPr>
        <w:t>图3-13是2019—2022年3只10倍趋势大牛股的趋势与波浪结构。</w:t>
      </w:r>
    </w:p>
    <w:p w14:paraId="5B1BB82C">
      <w:pPr>
        <w:spacing w:line="219" w:lineRule="auto"/>
        <w:rPr>
          <w:sz w:val="22"/>
          <w:szCs w:val="22"/>
        </w:rPr>
        <w:sectPr>
          <w:pgSz w:w="8740" w:h="13340"/>
          <w:pgMar w:top="400" w:right="1109" w:bottom="705" w:left="579" w:header="0" w:footer="543" w:gutter="0"/>
          <w:cols w:space="720" w:num="1"/>
        </w:sectPr>
      </w:pPr>
    </w:p>
    <w:p w14:paraId="1D162B25">
      <w:pPr>
        <w:spacing w:line="336" w:lineRule="auto"/>
        <w:rPr>
          <w:rFonts w:ascii="Arial"/>
          <w:sz w:val="21"/>
        </w:rPr>
      </w:pPr>
    </w:p>
    <w:p w14:paraId="17C355C5">
      <w:pPr>
        <w:spacing w:line="337" w:lineRule="auto"/>
        <w:rPr>
          <w:rFonts w:ascii="Arial"/>
          <w:sz w:val="21"/>
        </w:rPr>
      </w:pPr>
    </w:p>
    <w:p w14:paraId="64A91CF5">
      <w:pPr>
        <w:spacing w:line="3110" w:lineRule="exact"/>
        <w:ind w:firstLine="409"/>
      </w:pPr>
      <w:r>
        <w:rPr>
          <w:position w:val="-62"/>
        </w:rPr>
        <w:drawing>
          <wp:inline distT="0" distB="0" distL="0" distR="0">
            <wp:extent cx="3981450" cy="1974215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981465" cy="197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2F05">
      <w:pPr>
        <w:pStyle w:val="7"/>
        <w:spacing w:before="140" w:line="3220" w:lineRule="exact"/>
        <w:ind w:firstLine="409"/>
      </w:pPr>
      <w:r>
        <w:rPr>
          <w:position w:val="-64"/>
        </w:rPr>
        <w:pict>
          <v:group id="_x0000_s1190" o:spid="_x0000_s1190" o:spt="203" style="height:161.05pt;width:312.5pt;" coordsize="6250,3221">
            <o:lock v:ext="edit"/>
            <v:shape id="_x0000_s1191" o:spid="_x0000_s1191" o:spt="75" type="#_x0000_t75" style="position:absolute;left:0;top:0;height:3221;width:6250;" filled="f" stroked="f" coordsize="21600,21600">
              <v:path/>
              <v:fill on="f" focussize="0,0"/>
              <v:stroke on="f"/>
              <v:imagedata r:id="rId624" o:title=""/>
              <o:lock v:ext="edit" aspectratio="t"/>
            </v:shape>
            <v:shape id="_x0000_s1192" o:spid="_x0000_s1192" o:spt="202" type="#_x0000_t202" style="position:absolute;left:-20;top:-20;height:3261;width:62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532C46">
                    <w:pPr>
                      <w:spacing w:before="247" w:line="72" w:lineRule="exact"/>
                      <w:ind w:left="5839"/>
                      <w:rPr>
                        <w:rFonts w:ascii="宋体" w:hAnsi="宋体" w:eastAsia="宋体" w:cs="宋体"/>
                        <w:sz w:val="17"/>
                        <w:szCs w:val="17"/>
                      </w:rPr>
                    </w:pPr>
                    <w:r>
                      <w:rPr>
                        <w:rFonts w:ascii="宋体" w:hAnsi="宋体" w:eastAsia="宋体" w:cs="宋体"/>
                        <w:position w:val="2"/>
                        <w:sz w:val="17"/>
                        <w:szCs w:val="17"/>
                      </w:rPr>
                      <w:t>,</w:t>
                    </w:r>
                  </w:p>
                  <w:p w14:paraId="5E5982F7">
                    <w:pPr>
                      <w:spacing w:before="7" w:line="188" w:lineRule="auto"/>
                      <w:ind w:left="3900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9"/>
                        <w:szCs w:val="9"/>
                      </w:rPr>
                      <w:t>-164.19</w:t>
                    </w:r>
                  </w:p>
                  <w:p w14:paraId="31D4CD68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31BED205">
                    <w:pPr>
                      <w:spacing w:before="20" w:line="188" w:lineRule="auto"/>
                      <w:ind w:left="5920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7"/>
                        <w:szCs w:val="7"/>
                      </w:rPr>
                      <w:t>u2a7</w:t>
                    </w:r>
                  </w:p>
                  <w:p w14:paraId="55C48A65"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</w:p>
                  <w:p w14:paraId="15C06AA8">
                    <w:pPr>
                      <w:spacing w:before="32" w:line="75" w:lineRule="exact"/>
                      <w:ind w:left="6119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>s</w:t>
                    </w:r>
                  </w:p>
                  <w:p w14:paraId="6C57074A"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</w:p>
                  <w:p w14:paraId="3759300D"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</w:p>
                  <w:p w14:paraId="45565BE9"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</w:p>
                  <w:p w14:paraId="1AEF2BB5"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</w:p>
                  <w:p w14:paraId="19E95630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673D70F8">
                    <w:pPr>
                      <w:spacing w:before="20" w:line="185" w:lineRule="auto"/>
                      <w:ind w:left="4199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  <w:t xml:space="preserve">u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7"/>
                        <w:szCs w:val="7"/>
                      </w:rPr>
                      <w:t>tLLLL</w:t>
                    </w:r>
                  </w:p>
                  <w:p w14:paraId="129415E5">
                    <w:pPr>
                      <w:spacing w:line="405" w:lineRule="auto"/>
                      <w:rPr>
                        <w:rFonts w:ascii="Arial"/>
                        <w:sz w:val="21"/>
                      </w:rPr>
                    </w:pPr>
                  </w:p>
                  <w:p w14:paraId="0CB94079">
                    <w:pPr>
                      <w:spacing w:before="40" w:line="177" w:lineRule="exact"/>
                      <w:ind w:left="5900"/>
                      <w:rPr>
                        <w:rFonts w:ascii="Calibri" w:hAnsi="Calibri" w:eastAsia="Calibri" w:cs="Calibr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position w:val="1"/>
                        <w:sz w:val="13"/>
                        <w:szCs w:val="13"/>
                      </w:rPr>
                      <w:t>ko</w:t>
                    </w:r>
                    <w:r>
                      <w:rPr>
                        <w:rFonts w:ascii="Calibri" w:hAnsi="Calibri" w:eastAsia="Calibri" w:cs="Calibri"/>
                        <w:spacing w:val="-3"/>
                        <w:position w:val="1"/>
                        <w:sz w:val="13"/>
                        <w:szCs w:val="13"/>
                      </w:rPr>
                      <w:t>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AA459DE">
      <w:pPr>
        <w:spacing w:before="90" w:line="3070" w:lineRule="exact"/>
        <w:ind w:firstLine="390"/>
      </w:pPr>
      <w:r>
        <w:rPr>
          <w:position w:val="-61"/>
        </w:rPr>
        <w:drawing>
          <wp:inline distT="0" distB="0" distL="0" distR="0">
            <wp:extent cx="3974465" cy="194881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975060" cy="194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7E2D">
      <w:pPr>
        <w:spacing w:before="205" w:line="221" w:lineRule="auto"/>
        <w:ind w:left="969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18"/>
          <w:sz w:val="17"/>
          <w:szCs w:val="17"/>
        </w:rPr>
        <w:t>图3</w:t>
      </w:r>
      <w:r>
        <w:rPr>
          <w:rFonts w:ascii="黑体" w:hAnsi="黑体" w:eastAsia="黑体" w:cs="黑体"/>
          <w:spacing w:val="-63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18"/>
          <w:sz w:val="17"/>
          <w:szCs w:val="17"/>
        </w:rPr>
        <w:t>—</w:t>
      </w:r>
      <w:r>
        <w:rPr>
          <w:rFonts w:ascii="黑体" w:hAnsi="黑体" w:eastAsia="黑体" w:cs="黑体"/>
          <w:spacing w:val="-48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18"/>
          <w:sz w:val="17"/>
          <w:szCs w:val="17"/>
        </w:rPr>
        <w:t>132019</w:t>
      </w:r>
      <w:r>
        <w:rPr>
          <w:rFonts w:ascii="黑体" w:hAnsi="黑体" w:eastAsia="黑体" w:cs="黑体"/>
          <w:spacing w:val="-63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18"/>
          <w:sz w:val="17"/>
          <w:szCs w:val="17"/>
        </w:rPr>
        <w:t>—</w:t>
      </w:r>
      <w:r>
        <w:rPr>
          <w:rFonts w:ascii="黑体" w:hAnsi="黑体" w:eastAsia="黑体" w:cs="黑体"/>
          <w:spacing w:val="-58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18"/>
          <w:sz w:val="17"/>
          <w:szCs w:val="17"/>
        </w:rPr>
        <w:t>2022年3只10</w:t>
      </w:r>
      <w:r>
        <w:rPr>
          <w:rFonts w:ascii="黑体" w:hAnsi="黑体" w:eastAsia="黑体" w:cs="黑体"/>
          <w:spacing w:val="17"/>
          <w:sz w:val="17"/>
          <w:szCs w:val="17"/>
        </w:rPr>
        <w:t>倍趋势大牛股的趋势与波浪结构</w:t>
      </w:r>
    </w:p>
    <w:p w14:paraId="3878F580">
      <w:pPr>
        <w:spacing w:line="221" w:lineRule="auto"/>
        <w:rPr>
          <w:rFonts w:ascii="黑体" w:hAnsi="黑体" w:eastAsia="黑体" w:cs="黑体"/>
          <w:sz w:val="17"/>
          <w:szCs w:val="17"/>
        </w:rPr>
        <w:sectPr>
          <w:pgSz w:w="8770" w:h="13360"/>
          <w:pgMar w:top="932" w:right="979" w:bottom="739" w:left="1110" w:header="671" w:footer="559" w:gutter="0"/>
          <w:cols w:space="720" w:num="1"/>
        </w:sectPr>
      </w:pPr>
    </w:p>
    <w:p w14:paraId="06D120FF">
      <w:pPr>
        <w:spacing w:line="269" w:lineRule="auto"/>
        <w:rPr>
          <w:rFonts w:ascii="Arial"/>
          <w:sz w:val="21"/>
        </w:rPr>
      </w:pPr>
    </w:p>
    <w:p w14:paraId="57F8CE61">
      <w:pPr>
        <w:spacing w:before="55" w:line="222" w:lineRule="auto"/>
        <w:ind w:left="561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3"/>
          <w:sz w:val="17"/>
          <w:szCs w:val="17"/>
        </w:rPr>
        <w:t>第三章</w:t>
      </w:r>
      <w:r>
        <w:rPr>
          <w:rFonts w:ascii="FangSong" w:hAnsi="FangSong" w:eastAsia="FangSong" w:cs="FangSong"/>
          <w:spacing w:val="14"/>
          <w:sz w:val="17"/>
          <w:szCs w:val="17"/>
        </w:rPr>
        <w:t xml:space="preserve">  </w:t>
      </w:r>
      <w:r>
        <w:rPr>
          <w:rFonts w:ascii="FangSong" w:hAnsi="FangSong" w:eastAsia="FangSong" w:cs="FangSong"/>
          <w:spacing w:val="3"/>
          <w:sz w:val="17"/>
          <w:szCs w:val="17"/>
        </w:rPr>
        <w:t>趋势战法</w:t>
      </w:r>
    </w:p>
    <w:p w14:paraId="5D396404">
      <w:pPr>
        <w:spacing w:line="454" w:lineRule="auto"/>
        <w:rPr>
          <w:rFonts w:ascii="Arial"/>
          <w:sz w:val="21"/>
        </w:rPr>
      </w:pPr>
    </w:p>
    <w:p w14:paraId="42F93A12">
      <w:pPr>
        <w:pStyle w:val="7"/>
        <w:spacing w:before="71" w:line="311" w:lineRule="auto"/>
        <w:ind w:right="93" w:firstLine="45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当某只个股走出上涨趋势时，通过把握上述两个特征，就</w:t>
      </w:r>
      <w:r>
        <w:rPr>
          <w:spacing w:val="-15"/>
          <w:sz w:val="22"/>
          <w:szCs w:val="22"/>
        </w:rPr>
        <w:t>能对中长线趋势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大牛股的运行特征做出预判。比如，某只股票突破历史</w:t>
      </w:r>
      <w:r>
        <w:rPr>
          <w:spacing w:val="-14"/>
          <w:sz w:val="22"/>
          <w:szCs w:val="22"/>
        </w:rPr>
        <w:t>平台位，如果它将走成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趋势牛股，它的</w:t>
      </w:r>
      <w:r>
        <w:rPr>
          <w:rFonts w:ascii="Times New Roman" w:hAnsi="Times New Roman" w:eastAsia="Times New Roman" w:cs="Times New Roman"/>
          <w:spacing w:val="-14"/>
          <w:sz w:val="22"/>
          <w:szCs w:val="22"/>
        </w:rPr>
        <w:t>K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线就一定是在布林线周线中轨之上运行，布林线周线的中轨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一定是向上运行的，我们只要切入周线观察这只个股是否</w:t>
      </w:r>
      <w:r>
        <w:rPr>
          <w:spacing w:val="-14"/>
          <w:sz w:val="22"/>
          <w:szCs w:val="22"/>
        </w:rPr>
        <w:t>具有上述特征，就能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在早期把握住趋势牛股的特征并积极参与。同样，如</w:t>
      </w:r>
      <w:r>
        <w:rPr>
          <w:spacing w:val="-14"/>
          <w:sz w:val="22"/>
          <w:szCs w:val="22"/>
        </w:rPr>
        <w:t>果一只趋势大牛股涨高之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后出现了大幅调整，通过对其所在阶段可能对应的波浪结</w:t>
      </w:r>
      <w:r>
        <w:rPr>
          <w:spacing w:val="-14"/>
          <w:sz w:val="22"/>
          <w:szCs w:val="22"/>
        </w:rPr>
        <w:t>构进行分析，就能为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具体的波段买卖点提供可信的决策信息。而将个股的波浪结构与布林线的形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态结合时，可以预判</w:t>
      </w:r>
      <w:r>
        <w:rPr>
          <w:rFonts w:ascii="Times New Roman" w:hAnsi="Times New Roman" w:eastAsia="Times New Roman" w:cs="Times New Roman"/>
          <w:spacing w:val="-16"/>
          <w:sz w:val="22"/>
          <w:szCs w:val="22"/>
        </w:rPr>
        <w:t>K</w:t>
      </w:r>
      <w:r>
        <w:rPr>
          <w:rFonts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线可能的走势。</w:t>
      </w:r>
    </w:p>
    <w:p w14:paraId="3BDD7D3A">
      <w:pPr>
        <w:pStyle w:val="7"/>
        <w:spacing w:before="16" w:line="311" w:lineRule="auto"/>
        <w:ind w:right="81" w:firstLine="45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总之，趋势大牛股具有非常明显的技术性特征，而这些特征发挥作用的基</w:t>
      </w:r>
      <w:r>
        <w:rPr>
          <w:spacing w:val="5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础，是市场处于熊末牛初与牛市阶段。当市场进入这</w:t>
      </w:r>
      <w:r>
        <w:rPr>
          <w:spacing w:val="-14"/>
          <w:sz w:val="22"/>
          <w:szCs w:val="22"/>
        </w:rPr>
        <w:t>些阶段后，大胆参与符合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技术共性特征的个股，就能抓住重要的财富</w:t>
      </w:r>
      <w:r>
        <w:rPr>
          <w:spacing w:val="-17"/>
          <w:sz w:val="22"/>
          <w:szCs w:val="22"/>
        </w:rPr>
        <w:t>机会。</w:t>
      </w:r>
    </w:p>
    <w:sectPr>
      <w:pgSz w:w="8770" w:h="13360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TXingkai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LiSu">
    <w:altName w:val="报隶-简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FF71D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17"/>
      <w:szCs w:val="17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644" Type="http://schemas.openxmlformats.org/officeDocument/2006/relationships/fontTable" Target="fontTable.xml"/><Relationship Id="rId643" Type="http://schemas.openxmlformats.org/officeDocument/2006/relationships/customXml" Target="../customXml/item1.xml"/><Relationship Id="rId625" Type="http://schemas.openxmlformats.org/officeDocument/2006/relationships/image" Target="media/image122.jpeg"/><Relationship Id="rId624" Type="http://schemas.openxmlformats.org/officeDocument/2006/relationships/image" Target="media/image121.jpeg"/><Relationship Id="rId623" Type="http://schemas.openxmlformats.org/officeDocument/2006/relationships/image" Target="media/image120.jpeg"/><Relationship Id="rId622" Type="http://schemas.openxmlformats.org/officeDocument/2006/relationships/image" Target="media/image119.jpeg"/><Relationship Id="rId621" Type="http://schemas.openxmlformats.org/officeDocument/2006/relationships/image" Target="media/image118.jpeg"/><Relationship Id="rId620" Type="http://schemas.openxmlformats.org/officeDocument/2006/relationships/image" Target="media/image117.jpeg"/><Relationship Id="rId619" Type="http://schemas.openxmlformats.org/officeDocument/2006/relationships/image" Target="media/image116.jpeg"/><Relationship Id="rId618" Type="http://schemas.openxmlformats.org/officeDocument/2006/relationships/image" Target="media/image115.jpeg"/><Relationship Id="rId617" Type="http://schemas.openxmlformats.org/officeDocument/2006/relationships/image" Target="media/image114.jpeg"/><Relationship Id="rId616" Type="http://schemas.openxmlformats.org/officeDocument/2006/relationships/image" Target="media/image113.jpeg"/><Relationship Id="rId615" Type="http://schemas.openxmlformats.org/officeDocument/2006/relationships/image" Target="media/image112.jpeg"/><Relationship Id="rId510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8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3"/>
    <customShpInfo spid="_x0000_s1040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8"/>
    <customShpInfo spid="_x0000_s1070"/>
    <customShpInfo spid="_x0000_s1071"/>
    <customShpInfo spid="_x0000_s1072"/>
    <customShpInfo spid="_x0000_s1073"/>
    <customShpInfo spid="_x0000_s1069"/>
    <customShpInfo spid="_x0000_s1075"/>
    <customShpInfo spid="_x0000_s1076"/>
    <customShpInfo spid="_x0000_s1074"/>
    <customShpInfo spid="_x0000_s1078"/>
    <customShpInfo spid="_x0000_s1079"/>
    <customShpInfo spid="_x0000_s1080"/>
    <customShpInfo spid="_x0000_s1077"/>
    <customShpInfo spid="_x0000_s1082"/>
    <customShpInfo spid="_x0000_s1083"/>
    <customShpInfo spid="_x0000_s1081"/>
    <customShpInfo spid="_x0000_s1085"/>
    <customShpInfo spid="_x0000_s1086"/>
    <customShpInfo spid="_x0000_s1084"/>
    <customShpInfo spid="_x0000_s1087"/>
    <customShpInfo spid="_x0000_s1088"/>
    <customShpInfo spid="_x0000_s1089"/>
    <customShpInfo spid="_x0000_s1091"/>
    <customShpInfo spid="_x0000_s1092"/>
    <customShpInfo spid="_x0000_s1093"/>
    <customShpInfo spid="_x0000_s1090"/>
    <customShpInfo spid="_x0000_s1095"/>
    <customShpInfo spid="_x0000_s1096"/>
    <customShpInfo spid="_x0000_s1094"/>
    <customShpInfo spid="_x0000_s1098"/>
    <customShpInfo spid="_x0000_s1099"/>
    <customShpInfo spid="_x0000_s1097"/>
    <customShpInfo spid="_x0000_s1101"/>
    <customShpInfo spid="_x0000_s1102"/>
    <customShpInfo spid="_x0000_s1100"/>
    <customShpInfo spid="_x0000_s1104"/>
    <customShpInfo spid="_x0000_s1105"/>
    <customShpInfo spid="_x0000_s1103"/>
    <customShpInfo spid="_x0000_s1107"/>
    <customShpInfo spid="_x0000_s1108"/>
    <customShpInfo spid="_x0000_s1106"/>
    <customShpInfo spid="_x0000_s1110"/>
    <customShpInfo spid="_x0000_s1111"/>
    <customShpInfo spid="_x0000_s1109"/>
    <customShpInfo spid="_x0000_s1113"/>
    <customShpInfo spid="_x0000_s1114"/>
    <customShpInfo spid="_x0000_s1112"/>
    <customShpInfo spid="_x0000_s1116"/>
    <customShpInfo spid="_x0000_s1117"/>
    <customShpInfo spid="_x0000_s1118"/>
    <customShpInfo spid="_x0000_s1115"/>
    <customShpInfo spid="_x0000_s1120"/>
    <customShpInfo spid="_x0000_s1121"/>
    <customShpInfo spid="_x0000_s1119"/>
    <customShpInfo spid="_x0000_s1123"/>
    <customShpInfo spid="_x0000_s1124"/>
    <customShpInfo spid="_x0000_s1125"/>
    <customShpInfo spid="_x0000_s1122"/>
    <customShpInfo spid="_x0000_s1127"/>
    <customShpInfo spid="_x0000_s1128"/>
    <customShpInfo spid="_x0000_s1126"/>
    <customShpInfo spid="_x0000_s1130"/>
    <customShpInfo spid="_x0000_s1131"/>
    <customShpInfo spid="_x0000_s1132"/>
    <customShpInfo spid="_x0000_s1133"/>
    <customShpInfo spid="_x0000_s1134"/>
    <customShpInfo spid="_x0000_s1129"/>
    <customShpInfo spid="_x0000_s1136"/>
    <customShpInfo spid="_x0000_s1137"/>
    <customShpInfo spid="_x0000_s1135"/>
    <customShpInfo spid="_x0000_s1139"/>
    <customShpInfo spid="_x0000_s1140"/>
    <customShpInfo spid="_x0000_s1138"/>
    <customShpInfo spid="_x0000_s1141"/>
    <customShpInfo spid="_x0000_s1143"/>
    <customShpInfo spid="_x0000_s1144"/>
    <customShpInfo spid="_x0000_s1142"/>
    <customShpInfo spid="_x0000_s1146"/>
    <customShpInfo spid="_x0000_s1147"/>
    <customShpInfo spid="_x0000_s1148"/>
    <customShpInfo spid="_x0000_s1145"/>
    <customShpInfo spid="_x0000_s1150"/>
    <customShpInfo spid="_x0000_s1151"/>
    <customShpInfo spid="_x0000_s1152"/>
    <customShpInfo spid="_x0000_s1153"/>
    <customShpInfo spid="_x0000_s1154"/>
    <customShpInfo spid="_x0000_s1149"/>
    <customShpInfo spid="_x0000_s1156"/>
    <customShpInfo spid="_x0000_s1157"/>
    <customShpInfo spid="_x0000_s1155"/>
    <customShpInfo spid="_x0000_s1158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59"/>
    <customShpInfo spid="_x0000_s1168"/>
    <customShpInfo spid="_x0000_s1169"/>
    <customShpInfo spid="_x0000_s1171"/>
    <customShpInfo spid="_x0000_s1172"/>
    <customShpInfo spid="_x0000_s1173"/>
    <customShpInfo spid="_x0000_s1170"/>
    <customShpInfo spid="_x0000_s1174"/>
    <customShpInfo spid="_x0000_s1176"/>
    <customShpInfo spid="_x0000_s1177"/>
    <customShpInfo spid="_x0000_s1175"/>
    <customShpInfo spid="_x0000_s1179"/>
    <customShpInfo spid="_x0000_s1180"/>
    <customShpInfo spid="_x0000_s1181"/>
    <customShpInfo spid="_x0000_s1178"/>
    <customShpInfo spid="_x0000_s1183"/>
    <customShpInfo spid="_x0000_s1184"/>
    <customShpInfo spid="_x0000_s1185"/>
    <customShpInfo spid="_x0000_s1186"/>
    <customShpInfo spid="_x0000_s1182"/>
    <customShpInfo spid="_x0000_s1188"/>
    <customShpInfo spid="_x0000_s1189"/>
    <customShpInfo spid="_x0000_s1187"/>
    <customShpInfo spid="_x0000_s1191"/>
    <customShpInfo spid="_x0000_s1192"/>
    <customShpInfo spid="_x0000_s1190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193"/>
    <customShpInfo spid="_x0000_s1202"/>
    <customShpInfo spid="_x0000_s1203"/>
    <customShpInfo spid="_x0000_s1201"/>
    <customShpInfo spid="_x0000_s1204"/>
    <customShpInfo spid="_x0000_s1206"/>
    <customShpInfo spid="_x0000_s1207"/>
    <customShpInfo spid="_x0000_s1208"/>
    <customShpInfo spid="_x0000_s1205"/>
    <customShpInfo spid="_x0000_s1210"/>
    <customShpInfo spid="_x0000_s1211"/>
    <customShpInfo spid="_x0000_s1209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1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283</Pages>
  <TotalTime>3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2026-06-28T19:00:00Z</dcterms:created>
  <dc:creator>Data</dc:creator>
  <cp:lastModifiedBy>null</cp:lastModifiedBy>
  <dcterms:modified xsi:type="dcterms:W3CDTF">2026-06-28T11:07:03Z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2026-06-28T11:01:19Z</vt:filetime>
  </property>
  <property fmtid="{D5CDD505-2E9C-101B-9397-08002B2CF9AE}" pid="4" name="UsrData">
    <vt:lpwstr>6a408e3f50fe4f00011b75fawl</vt:lpwstr>
  </property>
  <property fmtid="{D5CDD505-2E9C-101B-9397-08002B2CF9AE}" pid="5" name="KSOProductBuildVer">
    <vt:lpwstr>2052-12.1.26016.26016</vt:lpwstr>
  </property>
  <property fmtid="{D5CDD505-2E9C-101B-9397-08002B2CF9AE}" pid="6" name="ICV">
    <vt:lpwstr>25C6C274D1A32D68D78F406AB65C53F2_42</vt:lpwstr>
  </property>
</Properties>
</file>