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BDF7F1">
      <w:pPr>
        <w:pStyle w:val="7"/>
        <w:outlineLvl w:val="1"/>
        <w:spacing w:before="92" w:line="219" w:lineRule="auto"/>
        <w:ind w:left="1880"/>
        <w:rPr>
          <w:sz w:val="28"/>
          <w:szCs w:val="28"/>
        </w:rPr>
      </w:pPr>
      <w:r>
        <w:rPr>
          <w:spacing w:val="-1"/>
          <w:sz w:val="28"/>
          <w:szCs w:val="28"/>
        </w:rPr>
        <w:t>第二节</w:t>
      </w:r>
      <w:r>
        <w:rPr>
          <w:spacing w:val="121"/>
          <w:sz w:val="28"/>
          <w:szCs w:val="28"/>
        </w:rPr>
        <w:t xml:space="preserve"> </w:t>
      </w:r>
      <w:r>
        <w:rPr>
          <w:spacing w:val="-1"/>
          <w:sz w:val="28"/>
          <w:szCs w:val="28"/>
        </w:rPr>
        <w:t>掌握趋势战法理念</w:t>
      </w:r>
    </w:p>
    <w:p w14:paraId="1B6429BC">
      <w:pPr>
        <w:spacing w:line="279" w:lineRule="auto"/>
        <w:rPr>
          <w:rFonts w:ascii="Arial"/>
          <w:sz w:val="21"/>
        </w:rPr>
      </w:pPr>
    </w:p>
    <w:p w14:paraId="57BEAD40">
      <w:pPr>
        <w:spacing w:line="280" w:lineRule="auto"/>
        <w:rPr>
          <w:rFonts w:ascii="Arial"/>
          <w:sz w:val="21"/>
        </w:rPr>
      </w:pPr>
    </w:p>
    <w:p w14:paraId="21A26AFD">
      <w:pPr>
        <w:pStyle w:val="7"/>
        <w:spacing w:before="72" w:line="311" w:lineRule="auto"/>
        <w:ind w:right="1" w:firstLine="419"/>
        <w:jc w:val="both"/>
        <w:rPr>
          <w:sz w:val="22"/>
          <w:szCs w:val="22"/>
        </w:rPr>
      </w:pPr>
      <w:r>
        <w:rPr>
          <w:spacing w:val="-13"/>
          <w:sz w:val="22"/>
          <w:szCs w:val="22"/>
        </w:rPr>
        <w:t>股票的交易之道可以归结为两点。第一，永远聚焦市场最强资金合力。什</w:t>
      </w:r>
      <w:r>
        <w:rPr>
          <w:spacing w:val="5"/>
          <w:sz w:val="22"/>
          <w:szCs w:val="22"/>
        </w:rPr>
        <w:t xml:space="preserve"> </w:t>
      </w:r>
      <w:r>
        <w:rPr>
          <w:spacing w:val="-9"/>
          <w:sz w:val="22"/>
          <w:szCs w:val="22"/>
        </w:rPr>
        <w:t>么是最强资金合力?最强资金合力不是指资金量的绝对值，而是</w:t>
      </w:r>
      <w:r>
        <w:rPr>
          <w:spacing w:val="-10"/>
          <w:sz w:val="22"/>
          <w:szCs w:val="22"/>
        </w:rPr>
        <w:t>指资金流在个</w:t>
      </w:r>
      <w:r>
        <w:rPr>
          <w:sz w:val="22"/>
          <w:szCs w:val="22"/>
        </w:rPr>
        <w:t xml:space="preserve"> </w:t>
      </w:r>
      <w:r>
        <w:rPr>
          <w:spacing w:val="-12"/>
          <w:sz w:val="22"/>
          <w:szCs w:val="22"/>
        </w:rPr>
        <w:t>股、板块或市场中的相对强度与持续性。只有具</w:t>
      </w:r>
      <w:r>
        <w:rPr>
          <w:spacing w:val="-13"/>
          <w:sz w:val="22"/>
          <w:szCs w:val="22"/>
        </w:rPr>
        <w:t>有市场强势合力的板块或个股</w:t>
      </w:r>
      <w:r>
        <w:rPr>
          <w:sz w:val="22"/>
          <w:szCs w:val="22"/>
        </w:rPr>
        <w:t xml:space="preserve"> </w:t>
      </w:r>
      <w:r>
        <w:rPr>
          <w:spacing w:val="-9"/>
          <w:sz w:val="22"/>
          <w:szCs w:val="22"/>
        </w:rPr>
        <w:t>才具有最强的上涨动力。趋势选股的核心只有一条，即瞄准趋势领涨股</w:t>
      </w:r>
      <w:r>
        <w:rPr>
          <w:spacing w:val="-10"/>
          <w:sz w:val="22"/>
          <w:szCs w:val="22"/>
        </w:rPr>
        <w:t>(龙头</w:t>
      </w:r>
      <w:r>
        <w:rPr>
          <w:sz w:val="22"/>
          <w:szCs w:val="22"/>
        </w:rPr>
        <w:t xml:space="preserve"> </w:t>
      </w:r>
      <w:r>
        <w:rPr>
          <w:spacing w:val="-9"/>
          <w:sz w:val="22"/>
          <w:szCs w:val="22"/>
        </w:rPr>
        <w:t>股)。所以，在市场中要完全聚焦趋势领涨股。趋势领涨股在熊市中出现</w:t>
      </w:r>
      <w:r>
        <w:rPr>
          <w:spacing w:val="-10"/>
          <w:sz w:val="22"/>
          <w:szCs w:val="22"/>
        </w:rPr>
        <w:t>得比</w:t>
      </w:r>
      <w:r>
        <w:rPr>
          <w:sz w:val="22"/>
          <w:szCs w:val="22"/>
        </w:rPr>
        <w:t xml:space="preserve"> </w:t>
      </w:r>
      <w:r>
        <w:rPr>
          <w:spacing w:val="-12"/>
          <w:sz w:val="22"/>
          <w:szCs w:val="22"/>
        </w:rPr>
        <w:t>较少，因此熊市的交易机会是有限的。而在牛</w:t>
      </w:r>
      <w:r>
        <w:rPr>
          <w:spacing w:val="-13"/>
          <w:sz w:val="22"/>
          <w:szCs w:val="22"/>
        </w:rPr>
        <w:t>市中持续轮动出现游资龙头股与</w:t>
      </w:r>
    </w:p>
    <w:p w14:paraId="1F2206B7">
      <w:pPr>
        <w:spacing w:line="311" w:lineRule="auto"/>
        <w:rPr>
          <w:sz w:val="22"/>
          <w:szCs w:val="22"/>
        </w:rPr>
        <w:sectPr>
          <w:pgSz w:w="8770" w:h="13360"/>
          <w:pgMar w:top="952" w:right="475" w:bottom="719" w:left="1229" w:header="691" w:footer="539" w:gutter="0"/>
          <w:cols w:space="720" w:num="1"/>
        </w:sectPr>
      </w:pPr>
    </w:p>
    <w:p w14:paraId="5695DD3D">
      <w:pPr>
        <w:spacing w:before="255" w:line="222" w:lineRule="auto"/>
        <w:ind w:left="5629"/>
        <w:rPr>
          <w:rFonts w:ascii="FangSong" w:hAnsi="FangSong" w:eastAsia="FangSong" w:cs="FangSong"/>
          <w:sz w:val="17"/>
          <w:szCs w:val="17"/>
        </w:rPr>
      </w:pPr>
      <w:r>
        <w:rPr>
          <w:rFonts w:ascii="FangSong" w:hAnsi="FangSong" w:eastAsia="FangSong" w:cs="FangSong"/>
          <w:spacing w:val="11"/>
          <w:sz w:val="17"/>
          <w:szCs w:val="17"/>
        </w:rPr>
        <w:t>第三章</w:t>
      </w:r>
      <w:r>
        <w:rPr>
          <w:rFonts w:ascii="FangSong" w:hAnsi="FangSong" w:eastAsia="FangSong" w:cs="FangSong"/>
          <w:spacing w:val="58"/>
          <w:sz w:val="17"/>
          <w:szCs w:val="17"/>
        </w:rPr>
        <w:t xml:space="preserve"> </w:t>
      </w:r>
      <w:r>
        <w:rPr>
          <w:rFonts w:ascii="FangSong" w:hAnsi="FangSong" w:eastAsia="FangSong" w:cs="FangSong"/>
          <w:spacing w:val="11"/>
          <w:sz w:val="17"/>
          <w:szCs w:val="17"/>
        </w:rPr>
        <w:t>趋势战法</w:t>
      </w:r>
    </w:p>
    <w:p w14:paraId="5B7B2CDC">
      <w:pPr>
        <w:rPr>
          <w:rFonts w:ascii="Arial"/>
          <w:sz w:val="21"/>
        </w:rPr>
      </w:pPr>
    </w:p>
    <w:p w14:paraId="652D5D94">
      <w:pPr>
        <w:rPr>
          <w:rFonts w:ascii="Arial"/>
          <w:sz w:val="21"/>
        </w:rPr>
      </w:pPr>
    </w:p>
    <w:p w14:paraId="4C772DA4">
      <w:pPr>
        <w:pStyle w:val="7"/>
        <w:spacing w:before="65" w:line="219" w:lineRule="auto"/>
        <w:rPr>
          <w:sz w:val="20"/>
          <w:szCs w:val="20"/>
        </w:rPr>
      </w:pPr>
      <w:r>
        <w:rPr>
          <w:spacing w:val="8"/>
          <w:sz w:val="20"/>
          <w:szCs w:val="20"/>
        </w:rPr>
        <w:t>趋势领涨股的局面则是牛市的主要特征之一。</w:t>
      </w:r>
    </w:p>
    <w:p w14:paraId="36F33A83">
      <w:pPr>
        <w:pStyle w:val="7"/>
        <w:spacing w:before="128" w:line="326" w:lineRule="auto"/>
        <w:ind w:right="60" w:firstLine="430"/>
        <w:jc w:val="both"/>
        <w:rPr>
          <w:sz w:val="21"/>
          <w:szCs w:val="21"/>
        </w:rPr>
      </w:pPr>
      <w:r>
        <w:rPr>
          <w:spacing w:val="-3"/>
          <w:sz w:val="21"/>
          <w:szCs w:val="21"/>
        </w:rPr>
        <w:t>第二，顺势交易是炒股的核心。大势超越一切。大势决定了交易机会的大</w:t>
      </w:r>
      <w:r>
        <w:rPr>
          <w:spacing w:val="4"/>
          <w:sz w:val="21"/>
          <w:szCs w:val="21"/>
        </w:rPr>
        <w:t xml:space="preserve"> </w:t>
      </w:r>
      <w:r>
        <w:rPr>
          <w:spacing w:val="-9"/>
          <w:sz w:val="21"/>
          <w:szCs w:val="21"/>
        </w:rPr>
        <w:t>小和成功率，逆势交易其害无穷。不同趋势周期，存在不同的市场机会，不同的</w:t>
      </w:r>
      <w:r>
        <w:rPr>
          <w:spacing w:val="9"/>
          <w:sz w:val="21"/>
          <w:szCs w:val="21"/>
        </w:rPr>
        <w:t xml:space="preserve"> </w:t>
      </w:r>
      <w:r>
        <w:rPr>
          <w:spacing w:val="-3"/>
          <w:sz w:val="21"/>
          <w:szCs w:val="21"/>
        </w:rPr>
        <w:t>市场机会存在不同的资金交易逻辑，不同的交易逻辑需要不同的交易策略</w:t>
      </w:r>
      <w:r>
        <w:rPr>
          <w:spacing w:val="-4"/>
          <w:sz w:val="21"/>
          <w:szCs w:val="21"/>
        </w:rPr>
        <w:t>，所</w:t>
      </w:r>
      <w:r>
        <w:rPr>
          <w:sz w:val="21"/>
          <w:szCs w:val="21"/>
        </w:rPr>
        <w:t xml:space="preserve"> </w:t>
      </w:r>
      <w:r>
        <w:rPr>
          <w:spacing w:val="-9"/>
          <w:sz w:val="21"/>
          <w:szCs w:val="21"/>
        </w:rPr>
        <w:t>以，交易必须顺势而为，讲究择时择机，只有抓住股市周期下的大机会，个人财</w:t>
      </w:r>
      <w:r>
        <w:rPr>
          <w:spacing w:val="1"/>
          <w:sz w:val="21"/>
          <w:szCs w:val="21"/>
        </w:rPr>
        <w:t xml:space="preserve"> </w:t>
      </w:r>
      <w:r>
        <w:rPr>
          <w:spacing w:val="-3"/>
          <w:sz w:val="21"/>
          <w:szCs w:val="21"/>
        </w:rPr>
        <w:t>富才有快速上涨的机会。而牛市，尤其是熊末修复期和牛市初期的周期将是股</w:t>
      </w:r>
      <w:r>
        <w:rPr>
          <w:spacing w:val="1"/>
          <w:sz w:val="21"/>
          <w:szCs w:val="21"/>
        </w:rPr>
        <w:t xml:space="preserve"> </w:t>
      </w:r>
      <w:r>
        <w:rPr>
          <w:spacing w:val="3"/>
          <w:sz w:val="21"/>
          <w:szCs w:val="21"/>
        </w:rPr>
        <w:t>民实现财富倍增的关键阶段。牛市选股的核心就</w:t>
      </w:r>
      <w:r>
        <w:rPr>
          <w:spacing w:val="2"/>
          <w:sz w:val="21"/>
          <w:szCs w:val="21"/>
        </w:rPr>
        <w:t>是紧盯并抓住市场每一阶段</w:t>
      </w:r>
      <w:r>
        <w:rPr>
          <w:sz w:val="21"/>
          <w:szCs w:val="21"/>
        </w:rPr>
        <w:t xml:space="preserve"> </w:t>
      </w:r>
      <w:r>
        <w:rPr>
          <w:spacing w:val="-3"/>
          <w:sz w:val="21"/>
          <w:szCs w:val="21"/>
        </w:rPr>
        <w:t>轮动的趋势领涨龙头股或游资短线龙头股。在牛市之中，因为资金驱动模式的</w:t>
      </w:r>
      <w:r>
        <w:rPr>
          <w:spacing w:val="7"/>
          <w:sz w:val="21"/>
          <w:szCs w:val="21"/>
        </w:rPr>
        <w:t xml:space="preserve"> </w:t>
      </w:r>
      <w:r>
        <w:rPr>
          <w:spacing w:val="-3"/>
          <w:sz w:val="21"/>
          <w:szCs w:val="21"/>
        </w:rPr>
        <w:t>不同，会有机构龙头股与游资龙头股之别。趋势战法的目标就是机构趋势龙头</w:t>
      </w:r>
      <w:r>
        <w:rPr>
          <w:spacing w:val="3"/>
          <w:sz w:val="21"/>
          <w:szCs w:val="21"/>
        </w:rPr>
        <w:t xml:space="preserve"> </w:t>
      </w:r>
      <w:r>
        <w:rPr>
          <w:spacing w:val="-9"/>
          <w:sz w:val="21"/>
          <w:szCs w:val="21"/>
        </w:rPr>
        <w:t>股，这类股票会是牛市大牛股。</w:t>
      </w:r>
    </w:p>
    <w:p w14:paraId="20C213B0">
      <w:pPr>
        <w:pStyle w:val="7"/>
        <w:spacing w:before="18" w:line="311" w:lineRule="auto"/>
        <w:ind w:firstLine="430"/>
        <w:jc w:val="both"/>
        <w:rPr>
          <w:sz w:val="22"/>
          <w:szCs w:val="22"/>
        </w:rPr>
      </w:pPr>
      <w:r>
        <w:rPr>
          <w:spacing w:val="-3"/>
          <w:sz w:val="22"/>
          <w:szCs w:val="22"/>
        </w:rPr>
        <w:t>那么如何在牛市中判断和抓住机构趋势龙头股?职业趋</w:t>
      </w:r>
      <w:r>
        <w:rPr>
          <w:spacing w:val="-4"/>
          <w:sz w:val="22"/>
          <w:szCs w:val="22"/>
        </w:rPr>
        <w:t>势交易者非常清</w:t>
      </w:r>
      <w:r>
        <w:rPr>
          <w:sz w:val="22"/>
          <w:szCs w:val="22"/>
        </w:rPr>
        <w:t xml:space="preserve"> </w:t>
      </w:r>
      <w:r>
        <w:rPr>
          <w:spacing w:val="-13"/>
          <w:sz w:val="22"/>
          <w:szCs w:val="22"/>
        </w:rPr>
        <w:t>楚，任何阶段股票市场的上涨，都具有一种特殊的结构性。这种结构性特点的</w:t>
      </w:r>
      <w:r>
        <w:rPr>
          <w:spacing w:val="7"/>
          <w:sz w:val="22"/>
          <w:szCs w:val="22"/>
        </w:rPr>
        <w:t xml:space="preserve"> </w:t>
      </w:r>
      <w:r>
        <w:rPr>
          <w:spacing w:val="-19"/>
          <w:sz w:val="22"/>
          <w:szCs w:val="22"/>
        </w:rPr>
        <w:t>核心就是“领头羊”效应。“领头羊”效应反映到市场，就是市场的上涨一定是</w:t>
      </w:r>
      <w:r>
        <w:rPr>
          <w:spacing w:val="4"/>
          <w:sz w:val="22"/>
          <w:szCs w:val="22"/>
        </w:rPr>
        <w:t xml:space="preserve"> </w:t>
      </w:r>
      <w:r>
        <w:rPr>
          <w:spacing w:val="-13"/>
          <w:sz w:val="22"/>
          <w:szCs w:val="22"/>
        </w:rPr>
        <w:t>分层次和递进关系的，不是无序的。这个层次代表了完全不同的赚钱效应、上</w:t>
      </w:r>
      <w:r>
        <w:rPr>
          <w:sz w:val="22"/>
          <w:szCs w:val="22"/>
        </w:rPr>
        <w:t xml:space="preserve"> </w:t>
      </w:r>
      <w:r>
        <w:rPr>
          <w:spacing w:val="-11"/>
          <w:sz w:val="22"/>
          <w:szCs w:val="22"/>
        </w:rPr>
        <w:t>涨空间和安全性。通俗地讲，就是每一轮大涨必然有市场领涨龙头股先出现，</w:t>
      </w:r>
      <w:r>
        <w:rPr>
          <w:spacing w:val="12"/>
          <w:sz w:val="22"/>
          <w:szCs w:val="22"/>
        </w:rPr>
        <w:t xml:space="preserve"> </w:t>
      </w:r>
      <w:r>
        <w:rPr>
          <w:spacing w:val="-7"/>
          <w:sz w:val="22"/>
          <w:szCs w:val="22"/>
        </w:rPr>
        <w:t>而上涨的板块一定会分化为主流、次主流和非主流。而主流代表的就是市场</w:t>
      </w:r>
      <w:r>
        <w:rPr>
          <w:spacing w:val="13"/>
          <w:sz w:val="22"/>
          <w:szCs w:val="22"/>
        </w:rPr>
        <w:t xml:space="preserve"> </w:t>
      </w:r>
      <w:r>
        <w:rPr>
          <w:spacing w:val="-7"/>
          <w:sz w:val="22"/>
          <w:szCs w:val="22"/>
        </w:rPr>
        <w:t>最强的资金合力，龙头股代表的就是市场最具赚钱效应的人气个股。职业趋</w:t>
      </w:r>
      <w:r>
        <w:rPr>
          <w:spacing w:val="8"/>
          <w:sz w:val="22"/>
          <w:szCs w:val="22"/>
        </w:rPr>
        <w:t xml:space="preserve"> </w:t>
      </w:r>
      <w:r>
        <w:rPr>
          <w:spacing w:val="-13"/>
          <w:sz w:val="22"/>
          <w:szCs w:val="22"/>
        </w:rPr>
        <w:t>势交易者要做的主要是以下两点：一是踏对市场周期节奏；二是抓住领涨总龙</w:t>
      </w:r>
      <w:r>
        <w:rPr>
          <w:sz w:val="22"/>
          <w:szCs w:val="22"/>
        </w:rPr>
        <w:t xml:space="preserve"> </w:t>
      </w:r>
      <w:r>
        <w:rPr>
          <w:spacing w:val="-13"/>
          <w:sz w:val="22"/>
          <w:szCs w:val="22"/>
        </w:rPr>
        <w:t>头，参与市场主流板块。在牛市之中，抓住机构趋势大牛就是机构趋势战法的</w:t>
      </w:r>
      <w:r>
        <w:rPr>
          <w:spacing w:val="7"/>
          <w:sz w:val="22"/>
          <w:szCs w:val="22"/>
        </w:rPr>
        <w:t xml:space="preserve"> </w:t>
      </w:r>
      <w:r>
        <w:rPr>
          <w:spacing w:val="-14"/>
          <w:sz w:val="22"/>
          <w:szCs w:val="22"/>
        </w:rPr>
        <w:t>目标。</w:t>
      </w:r>
    </w:p>
    <w:p w14:paraId="68A7644B">
      <w:pPr>
        <w:spacing w:before="201" w:line="221" w:lineRule="auto"/>
        <w:ind w:left="430"/>
        <w:rPr>
          <w:rFonts w:ascii="黑体" w:hAnsi="黑体" w:eastAsia="黑体" w:cs="黑体"/>
          <w:sz w:val="22"/>
          <w:szCs w:val="22"/>
        </w:rPr>
        <w:outlineLvl w:val="2"/>
      </w:pPr>
      <w:r>
        <w:rPr>
          <w:rFonts w:ascii="黑体" w:hAnsi="黑体" w:eastAsia="黑体" w:cs="黑体"/>
          <w:spacing w:val="-10"/>
          <w:sz w:val="22"/>
          <w:szCs w:val="22"/>
        </w:rPr>
        <w:t>一、趋势牛股有两大驱动因素</w:t>
      </w:r>
    </w:p>
    <w:p w14:paraId="75A769C5">
      <w:pPr>
        <w:pStyle w:val="7"/>
        <w:spacing w:before="296" w:line="312" w:lineRule="auto"/>
        <w:ind w:right="59" w:firstLine="430"/>
        <w:jc w:val="both"/>
        <w:rPr>
          <w:sz w:val="22"/>
          <w:szCs w:val="22"/>
        </w:rPr>
      </w:pPr>
      <w:r>
        <w:rPr>
          <w:spacing w:val="-13"/>
          <w:sz w:val="22"/>
          <w:szCs w:val="22"/>
        </w:rPr>
        <w:t>趋势牛股不同于游资妖股，妖股可以不需要基本面支撑，游资妖股玩的是</w:t>
      </w:r>
      <w:r>
        <w:rPr>
          <w:spacing w:val="5"/>
          <w:sz w:val="22"/>
          <w:szCs w:val="22"/>
        </w:rPr>
        <w:t xml:space="preserve"> </w:t>
      </w:r>
      <w:r>
        <w:rPr>
          <w:spacing w:val="-19"/>
          <w:sz w:val="22"/>
          <w:szCs w:val="22"/>
        </w:rPr>
        <w:t>情绪投机，是短期暴利，快进快出。但是趋势牛股需要长期运行，在技术面满足</w:t>
      </w:r>
      <w:r>
        <w:rPr>
          <w:spacing w:val="2"/>
          <w:sz w:val="22"/>
          <w:szCs w:val="22"/>
        </w:rPr>
        <w:t xml:space="preserve"> </w:t>
      </w:r>
      <w:r>
        <w:rPr>
          <w:spacing w:val="-17"/>
          <w:sz w:val="22"/>
          <w:szCs w:val="22"/>
        </w:rPr>
        <w:t>的基础上，必然需要有强大的或特定的基本面支撑。</w:t>
      </w:r>
    </w:p>
    <w:p w14:paraId="3EA75177">
      <w:pPr>
        <w:pStyle w:val="7"/>
        <w:spacing w:before="17" w:line="311" w:lineRule="auto"/>
        <w:ind w:right="60" w:firstLine="430"/>
        <w:jc w:val="both"/>
        <w:rPr>
          <w:sz w:val="22"/>
          <w:szCs w:val="22"/>
        </w:rPr>
      </w:pPr>
      <w:r>
        <w:rPr>
          <w:spacing w:val="-13"/>
          <w:sz w:val="22"/>
          <w:szCs w:val="22"/>
        </w:rPr>
        <w:t>所以，趋势牛股受技术性与基本面两大因素驱动。可以说，技术性与基本</w:t>
      </w:r>
      <w:r>
        <w:rPr>
          <w:spacing w:val="4"/>
          <w:sz w:val="22"/>
          <w:szCs w:val="22"/>
        </w:rPr>
        <w:t xml:space="preserve"> </w:t>
      </w:r>
      <w:r>
        <w:rPr>
          <w:spacing w:val="-13"/>
          <w:sz w:val="22"/>
          <w:szCs w:val="22"/>
        </w:rPr>
        <w:t>面对于趋势牛股的判断两者缺一不可。其中，尤其以技术性驱动最重要。因为</w:t>
      </w:r>
      <w:r>
        <w:rPr>
          <w:spacing w:val="1"/>
          <w:sz w:val="22"/>
          <w:szCs w:val="22"/>
        </w:rPr>
        <w:t xml:space="preserve"> </w:t>
      </w:r>
      <w:r>
        <w:rPr>
          <w:spacing w:val="-13"/>
          <w:sz w:val="22"/>
          <w:szCs w:val="22"/>
        </w:rPr>
        <w:t>任何所谓基本面好的股票，如果在技术性驱动上不满足，都证明这只股票仍在</w:t>
      </w:r>
      <w:r>
        <w:rPr>
          <w:spacing w:val="2"/>
          <w:sz w:val="22"/>
          <w:szCs w:val="22"/>
        </w:rPr>
        <w:t xml:space="preserve"> </w:t>
      </w:r>
      <w:r>
        <w:rPr>
          <w:spacing w:val="-13"/>
          <w:sz w:val="22"/>
          <w:szCs w:val="22"/>
        </w:rPr>
        <w:t>沉睡中。一个恰当的比喻是，再豪华的邮轮如果只停泊在港口，它也不能带你</w:t>
      </w:r>
    </w:p>
    <w:p w14:paraId="413EC125">
      <w:pPr>
        <w:spacing w:line="311" w:lineRule="auto"/>
        <w:rPr>
          <w:sz w:val="22"/>
          <w:szCs w:val="22"/>
        </w:rPr>
        <w:sectPr>
          <w:pgSz w:w="8740" w:h="13340"/>
          <w:pgMar w:top="400" w:right="1099" w:bottom="759" w:left="520" w:header="0" w:footer="579" w:gutter="0"/>
          <w:cols w:space="720" w:num="1"/>
        </w:sectPr>
      </w:pPr>
    </w:p>
    <w:p w14:paraId="33DCE94D">
      <w:pPr>
        <w:spacing w:line="442" w:lineRule="auto"/>
        <w:rPr>
          <w:rFonts w:ascii="Arial"/>
          <w:sz w:val="21"/>
        </w:rPr>
      </w:pPr>
    </w:p>
    <w:p w14:paraId="4133E2F5">
      <w:pPr>
        <w:pStyle w:val="7"/>
        <w:spacing w:before="71" w:line="295" w:lineRule="auto"/>
        <w:ind w:right="102"/>
        <w:rPr>
          <w:sz w:val="22"/>
          <w:szCs w:val="22"/>
        </w:rPr>
      </w:pPr>
      <w:r>
        <w:rPr>
          <w:spacing w:val="-12"/>
          <w:sz w:val="22"/>
          <w:szCs w:val="22"/>
        </w:rPr>
        <w:t>去远航。所以，趋势牛股的分析必须以技术性作为切入点，再到</w:t>
      </w:r>
      <w:r>
        <w:rPr>
          <w:spacing w:val="-13"/>
          <w:sz w:val="22"/>
          <w:szCs w:val="22"/>
        </w:rPr>
        <w:t>基本面。有了</w:t>
      </w:r>
      <w:r>
        <w:rPr>
          <w:sz w:val="22"/>
          <w:szCs w:val="22"/>
        </w:rPr>
        <w:t xml:space="preserve"> </w:t>
      </w:r>
      <w:r>
        <w:rPr>
          <w:spacing w:val="-17"/>
          <w:sz w:val="22"/>
          <w:szCs w:val="22"/>
        </w:rPr>
        <w:t>技术性的研究，才有基本面的研究。</w:t>
      </w:r>
    </w:p>
    <w:p w14:paraId="57EB1F4D">
      <w:pPr>
        <w:pStyle w:val="7"/>
        <w:spacing w:before="38" w:line="303" w:lineRule="auto"/>
        <w:ind w:right="15" w:firstLine="429"/>
        <w:jc w:val="both"/>
        <w:rPr>
          <w:sz w:val="22"/>
          <w:szCs w:val="22"/>
        </w:rPr>
      </w:pPr>
      <w:r>
        <w:rPr>
          <w:spacing w:val="-6"/>
          <w:sz w:val="22"/>
          <w:szCs w:val="22"/>
        </w:rPr>
        <w:t>趋势牛股的技术性驱动是发现趋势牛股的核心逻辑。这个逻辑要满足八</w:t>
      </w:r>
      <w:r>
        <w:rPr>
          <w:spacing w:val="5"/>
          <w:sz w:val="22"/>
          <w:szCs w:val="22"/>
        </w:rPr>
        <w:t xml:space="preserve"> </w:t>
      </w:r>
      <w:r>
        <w:rPr>
          <w:spacing w:val="-24"/>
          <w:sz w:val="22"/>
          <w:szCs w:val="22"/>
        </w:rPr>
        <w:t>个方面的条件：长期均线、漂亮图形、量价关系、盘子大小、市场强</w:t>
      </w:r>
      <w:r>
        <w:rPr>
          <w:spacing w:val="-25"/>
          <w:sz w:val="22"/>
          <w:szCs w:val="22"/>
        </w:rPr>
        <w:t>度、</w:t>
      </w:r>
      <w:r>
        <w:rPr>
          <w:rFonts w:ascii="Times New Roman" w:hAnsi="Times New Roman" w:eastAsia="Times New Roman" w:cs="Times New Roman"/>
          <w:spacing w:val="-25"/>
          <w:sz w:val="22"/>
          <w:szCs w:val="22"/>
        </w:rPr>
        <w:t xml:space="preserve">RSI </w:t>
      </w:r>
      <w:r>
        <w:rPr>
          <w:spacing w:val="-25"/>
          <w:sz w:val="22"/>
          <w:szCs w:val="22"/>
        </w:rPr>
        <w:t>强度、</w:t>
      </w:r>
      <w:r>
        <w:rPr>
          <w:sz w:val="22"/>
          <w:szCs w:val="22"/>
        </w:rPr>
        <w:t xml:space="preserve"> </w:t>
      </w:r>
      <w:r>
        <w:rPr>
          <w:spacing w:val="-17"/>
          <w:sz w:val="22"/>
          <w:szCs w:val="22"/>
        </w:rPr>
        <w:t>周线分辨与日线确认、平台突破。</w:t>
      </w:r>
    </w:p>
    <w:p w14:paraId="2D4FA6AD">
      <w:pPr>
        <w:pStyle w:val="7"/>
        <w:spacing w:before="25" w:line="311" w:lineRule="auto"/>
        <w:ind w:right="80" w:firstLine="429"/>
        <w:jc w:val="both"/>
        <w:rPr>
          <w:sz w:val="22"/>
          <w:szCs w:val="22"/>
        </w:rPr>
      </w:pPr>
      <w:r>
        <w:rPr>
          <w:spacing w:val="-6"/>
          <w:sz w:val="22"/>
          <w:szCs w:val="22"/>
        </w:rPr>
        <w:t>上面八个方面组成了交易系统趋势牛股的技术判断逻辑。技术判断逻辑</w:t>
      </w:r>
      <w:r>
        <w:rPr>
          <w:spacing w:val="3"/>
          <w:sz w:val="22"/>
          <w:szCs w:val="22"/>
        </w:rPr>
        <w:t xml:space="preserve"> </w:t>
      </w:r>
      <w:r>
        <w:rPr>
          <w:spacing w:val="-12"/>
          <w:sz w:val="22"/>
          <w:szCs w:val="22"/>
        </w:rPr>
        <w:t>是一个固定的技术分析标准。但在这个固定的标准之上，还需要一个关于基本</w:t>
      </w:r>
      <w:r>
        <w:rPr>
          <w:spacing w:val="16"/>
          <w:sz w:val="22"/>
          <w:szCs w:val="22"/>
        </w:rPr>
        <w:t xml:space="preserve"> </w:t>
      </w:r>
      <w:r>
        <w:rPr>
          <w:spacing w:val="-6"/>
          <w:sz w:val="22"/>
          <w:szCs w:val="22"/>
        </w:rPr>
        <w:t>面的补充。但这个基本面的补充不是一个固定的标准。重点要研究当时的政</w:t>
      </w:r>
      <w:r>
        <w:rPr>
          <w:spacing w:val="6"/>
          <w:sz w:val="22"/>
          <w:szCs w:val="22"/>
        </w:rPr>
        <w:t xml:space="preserve"> </w:t>
      </w:r>
      <w:r>
        <w:rPr>
          <w:spacing w:val="-20"/>
          <w:sz w:val="22"/>
          <w:szCs w:val="22"/>
        </w:rPr>
        <w:t>策，政策扶持的行业，还有行业的业绩周期，个股题材和其他信息等。</w:t>
      </w:r>
    </w:p>
    <w:p w14:paraId="157684BA">
      <w:pPr>
        <w:pStyle w:val="7"/>
        <w:spacing w:before="16" w:line="296" w:lineRule="auto"/>
        <w:ind w:right="81" w:firstLine="429"/>
        <w:jc w:val="both"/>
        <w:rPr>
          <w:sz w:val="22"/>
          <w:szCs w:val="22"/>
        </w:rPr>
      </w:pPr>
      <w:r>
        <w:rPr>
          <w:spacing w:val="-9"/>
          <w:sz w:val="22"/>
          <w:szCs w:val="22"/>
        </w:rPr>
        <w:t>为什么说基本面的补充是不固定的?因为它必须与当时的环境相一致，必</w:t>
      </w:r>
      <w:r>
        <w:rPr>
          <w:spacing w:val="4"/>
          <w:sz w:val="22"/>
          <w:szCs w:val="22"/>
        </w:rPr>
        <w:t xml:space="preserve"> </w:t>
      </w:r>
      <w:r>
        <w:rPr>
          <w:spacing w:val="-12"/>
          <w:sz w:val="22"/>
          <w:szCs w:val="22"/>
        </w:rPr>
        <w:t>须结合当时的环境研究和确认。每一轮牛市的领涨行业往往各不相同，因为政</w:t>
      </w:r>
      <w:r>
        <w:rPr>
          <w:spacing w:val="15"/>
          <w:sz w:val="22"/>
          <w:szCs w:val="22"/>
        </w:rPr>
        <w:t xml:space="preserve"> </w:t>
      </w:r>
      <w:r>
        <w:rPr>
          <w:spacing w:val="-10"/>
          <w:sz w:val="22"/>
          <w:szCs w:val="22"/>
        </w:rPr>
        <w:t>策与行业周期有区别。</w:t>
      </w:r>
    </w:p>
    <w:p w14:paraId="2A6B74F0">
      <w:pPr>
        <w:pStyle w:val="7"/>
        <w:spacing w:before="52" w:line="311" w:lineRule="auto"/>
        <w:ind w:right="20" w:firstLine="429"/>
        <w:jc w:val="both"/>
        <w:rPr>
          <w:sz w:val="22"/>
          <w:szCs w:val="22"/>
        </w:rPr>
      </w:pPr>
      <w:r>
        <w:rPr>
          <w:spacing w:val="-10"/>
          <w:sz w:val="22"/>
          <w:szCs w:val="22"/>
        </w:rPr>
        <w:t>在市场进入牛市后，至少会有3～5个行业板块率先上涨带动市场。所以，</w:t>
      </w:r>
      <w:r>
        <w:rPr>
          <w:spacing w:val="8"/>
          <w:sz w:val="22"/>
          <w:szCs w:val="22"/>
        </w:rPr>
        <w:t xml:space="preserve"> </w:t>
      </w:r>
      <w:r>
        <w:rPr>
          <w:spacing w:val="-12"/>
          <w:sz w:val="22"/>
          <w:szCs w:val="22"/>
        </w:rPr>
        <w:t>对行业基本面的研究不能局限于一个行业，而是要多了解几个行</w:t>
      </w:r>
      <w:r>
        <w:rPr>
          <w:spacing w:val="-13"/>
          <w:sz w:val="22"/>
          <w:szCs w:val="22"/>
        </w:rPr>
        <w:t>业。这些行业</w:t>
      </w:r>
      <w:r>
        <w:rPr>
          <w:sz w:val="22"/>
          <w:szCs w:val="22"/>
        </w:rPr>
        <w:t xml:space="preserve"> </w:t>
      </w:r>
      <w:r>
        <w:rPr>
          <w:spacing w:val="-18"/>
          <w:sz w:val="22"/>
          <w:szCs w:val="22"/>
        </w:rPr>
        <w:t>研究的要点有两个：首先，有没有政策大力扶持是一个方向，机构主力是政策的</w:t>
      </w:r>
      <w:r>
        <w:rPr>
          <w:spacing w:val="4"/>
          <w:sz w:val="22"/>
          <w:szCs w:val="22"/>
        </w:rPr>
        <w:t xml:space="preserve"> </w:t>
      </w:r>
      <w:r>
        <w:rPr>
          <w:spacing w:val="-12"/>
          <w:sz w:val="22"/>
          <w:szCs w:val="22"/>
        </w:rPr>
        <w:t>忠实追随者，政策会给行业带来巨大的想象空间。其次，有明显的行</w:t>
      </w:r>
      <w:r>
        <w:rPr>
          <w:spacing w:val="-13"/>
          <w:sz w:val="22"/>
          <w:szCs w:val="22"/>
        </w:rPr>
        <w:t>业业绩复</w:t>
      </w:r>
      <w:r>
        <w:rPr>
          <w:sz w:val="22"/>
          <w:szCs w:val="22"/>
        </w:rPr>
        <w:t xml:space="preserve"> </w:t>
      </w:r>
      <w:r>
        <w:rPr>
          <w:spacing w:val="-18"/>
          <w:sz w:val="22"/>
          <w:szCs w:val="22"/>
        </w:rPr>
        <w:t>苏，有明显业绩增长预期的行业，机构会重视其估值。有了这两个研究方向</w:t>
      </w:r>
      <w:r>
        <w:rPr>
          <w:spacing w:val="-19"/>
          <w:sz w:val="22"/>
          <w:szCs w:val="22"/>
        </w:rPr>
        <w:t>，就</w:t>
      </w:r>
      <w:r>
        <w:rPr>
          <w:sz w:val="22"/>
          <w:szCs w:val="22"/>
        </w:rPr>
        <w:t xml:space="preserve"> </w:t>
      </w:r>
      <w:r>
        <w:rPr>
          <w:spacing w:val="-12"/>
          <w:sz w:val="22"/>
          <w:szCs w:val="22"/>
        </w:rPr>
        <w:t>可以明白，为什么行业业绩增长潜力大，个股业绩持续增长较突出的个</w:t>
      </w:r>
      <w:r>
        <w:rPr>
          <w:spacing w:val="-13"/>
          <w:sz w:val="22"/>
          <w:szCs w:val="22"/>
        </w:rPr>
        <w:t>股可能</w:t>
      </w:r>
      <w:r>
        <w:rPr>
          <w:sz w:val="22"/>
          <w:szCs w:val="22"/>
        </w:rPr>
        <w:t xml:space="preserve"> </w:t>
      </w:r>
      <w:r>
        <w:rPr>
          <w:spacing w:val="-12"/>
          <w:sz w:val="22"/>
          <w:szCs w:val="22"/>
        </w:rPr>
        <w:t>成为市场的趋势龙头股。同样，有一些股票业绩增长并不明显，但是因为</w:t>
      </w:r>
      <w:r>
        <w:rPr>
          <w:spacing w:val="-13"/>
          <w:sz w:val="22"/>
          <w:szCs w:val="22"/>
        </w:rPr>
        <w:t>其具</w:t>
      </w:r>
      <w:r>
        <w:rPr>
          <w:sz w:val="22"/>
          <w:szCs w:val="22"/>
        </w:rPr>
        <w:t xml:space="preserve"> </w:t>
      </w:r>
      <w:r>
        <w:rPr>
          <w:spacing w:val="-18"/>
          <w:sz w:val="22"/>
          <w:szCs w:val="22"/>
        </w:rPr>
        <w:t>有巨大的政策想象空间，属于热点题材，又在牛市的环境下，它们也可</w:t>
      </w:r>
      <w:r>
        <w:rPr>
          <w:spacing w:val="-19"/>
          <w:sz w:val="22"/>
          <w:szCs w:val="22"/>
        </w:rPr>
        <w:t>能成为趋</w:t>
      </w:r>
      <w:r>
        <w:rPr>
          <w:sz w:val="22"/>
          <w:szCs w:val="22"/>
        </w:rPr>
        <w:t xml:space="preserve"> </w:t>
      </w:r>
      <w:r>
        <w:rPr>
          <w:spacing w:val="-10"/>
          <w:sz w:val="22"/>
          <w:szCs w:val="22"/>
        </w:rPr>
        <w:t>势市场领涨龙头股，比如2014年的大牛股全通教育。</w:t>
      </w:r>
    </w:p>
    <w:p w14:paraId="41567ECE">
      <w:pPr>
        <w:spacing w:before="193" w:line="221" w:lineRule="auto"/>
        <w:ind w:left="429"/>
        <w:rPr>
          <w:rFonts w:ascii="黑体" w:hAnsi="黑体" w:eastAsia="黑体" w:cs="黑体"/>
          <w:sz w:val="22"/>
          <w:szCs w:val="22"/>
        </w:rPr>
        <w:outlineLvl w:val="2"/>
      </w:pPr>
      <w:r>
        <w:rPr>
          <w:rFonts w:ascii="黑体" w:hAnsi="黑体" w:eastAsia="黑体" w:cs="黑体"/>
          <w:spacing w:val="-10"/>
          <w:sz w:val="22"/>
          <w:szCs w:val="22"/>
        </w:rPr>
        <w:t>二、趋势牛股技术判断条件</w:t>
      </w:r>
    </w:p>
    <w:p w14:paraId="327E88C1">
      <w:pPr>
        <w:pStyle w:val="7"/>
        <w:spacing w:before="308" w:line="304" w:lineRule="auto"/>
        <w:ind w:right="100" w:firstLine="429"/>
        <w:jc w:val="both"/>
        <w:rPr>
          <w:sz w:val="22"/>
          <w:szCs w:val="22"/>
        </w:rPr>
      </w:pPr>
      <w:r>
        <w:rPr>
          <w:spacing w:val="-6"/>
          <w:sz w:val="22"/>
          <w:szCs w:val="22"/>
        </w:rPr>
        <w:t>本小节重点讨论如下问题：一是趋势大牛股通过实践检验的共性技术特</w:t>
      </w:r>
      <w:r>
        <w:rPr>
          <w:spacing w:val="2"/>
          <w:sz w:val="22"/>
          <w:szCs w:val="22"/>
        </w:rPr>
        <w:t xml:space="preserve"> </w:t>
      </w:r>
      <w:r>
        <w:rPr>
          <w:spacing w:val="-12"/>
          <w:sz w:val="22"/>
          <w:szCs w:val="22"/>
        </w:rPr>
        <w:t>征；二是技术的本质是发现功能，不是创造功能。技术运用的核心</w:t>
      </w:r>
      <w:r>
        <w:rPr>
          <w:spacing w:val="-13"/>
          <w:sz w:val="22"/>
          <w:szCs w:val="22"/>
        </w:rPr>
        <w:t>是多维度交</w:t>
      </w:r>
      <w:r>
        <w:rPr>
          <w:sz w:val="22"/>
          <w:szCs w:val="22"/>
        </w:rPr>
        <w:t xml:space="preserve"> </w:t>
      </w:r>
      <w:r>
        <w:rPr>
          <w:spacing w:val="-12"/>
          <w:sz w:val="22"/>
          <w:szCs w:val="22"/>
        </w:rPr>
        <w:t>叉验证，交叉发现。判断趋势强势股的技术基因，须立足于多维度的</w:t>
      </w:r>
      <w:r>
        <w:rPr>
          <w:spacing w:val="-13"/>
          <w:sz w:val="22"/>
          <w:szCs w:val="22"/>
        </w:rPr>
        <w:t>八个技术</w:t>
      </w:r>
      <w:r>
        <w:rPr>
          <w:sz w:val="22"/>
          <w:szCs w:val="22"/>
        </w:rPr>
        <w:t xml:space="preserve"> </w:t>
      </w:r>
      <w:r>
        <w:rPr>
          <w:spacing w:val="-8"/>
          <w:sz w:val="22"/>
          <w:szCs w:val="22"/>
        </w:rPr>
        <w:t>交叉验证。</w:t>
      </w:r>
    </w:p>
    <w:p w14:paraId="29DDB3A8">
      <w:pPr>
        <w:spacing w:before="28" w:line="224" w:lineRule="auto"/>
        <w:ind w:left="429"/>
        <w:rPr>
          <w:rFonts w:ascii="KaiTi" w:hAnsi="KaiTi" w:eastAsia="KaiTi" w:cs="KaiTi"/>
          <w:sz w:val="22"/>
          <w:szCs w:val="22"/>
        </w:rPr>
      </w:pPr>
      <w:r>
        <w:rPr>
          <w:rFonts w:ascii="KaiTi" w:hAnsi="KaiTi" w:eastAsia="KaiTi" w:cs="KaiTi"/>
          <w:spacing w:val="-2"/>
          <w:sz w:val="22"/>
          <w:szCs w:val="22"/>
        </w:rPr>
        <w:t>(一)长期均线</w:t>
      </w:r>
    </w:p>
    <w:p w14:paraId="6C5F1358">
      <w:pPr>
        <w:pStyle w:val="7"/>
        <w:spacing w:before="117" w:line="219" w:lineRule="auto"/>
        <w:jc w:val="right"/>
        <w:rPr>
          <w:sz w:val="22"/>
          <w:szCs w:val="22"/>
        </w:rPr>
      </w:pPr>
      <w:r>
        <w:rPr>
          <w:spacing w:val="-9"/>
          <w:sz w:val="22"/>
          <w:szCs w:val="22"/>
        </w:rPr>
        <w:t>一只股票要想长期走强，首要的条件一定是</w:t>
      </w:r>
      <w:r>
        <w:rPr>
          <w:spacing w:val="-10"/>
          <w:sz w:val="22"/>
          <w:szCs w:val="22"/>
        </w:rPr>
        <w:t>要摆脱熊市的压力或者影响。</w:t>
      </w:r>
    </w:p>
    <w:p w14:paraId="59FD0607">
      <w:pPr>
        <w:spacing w:line="219" w:lineRule="auto"/>
        <w:rPr>
          <w:sz w:val="22"/>
          <w:szCs w:val="22"/>
        </w:rPr>
        <w:sectPr>
          <w:pgSz w:w="8770" w:h="13360"/>
          <w:pgMar w:top="932" w:right="479" w:bottom="735" w:left="1120" w:header="671" w:footer="573" w:gutter="0"/>
          <w:cols w:space="720" w:num="1"/>
        </w:sectPr>
      </w:pPr>
    </w:p>
    <w:p w14:paraId="44E51CDA">
      <w:pPr>
        <w:spacing w:before="285" w:line="222" w:lineRule="auto"/>
        <w:ind w:left="5640"/>
        <w:rPr>
          <w:rFonts w:ascii="FangSong" w:hAnsi="FangSong" w:eastAsia="FangSong" w:cs="FangSong"/>
          <w:sz w:val="17"/>
          <w:szCs w:val="17"/>
        </w:rPr>
      </w:pPr>
      <w:r>
        <w:rPr>
          <w:rFonts w:ascii="FangSong" w:hAnsi="FangSong" w:eastAsia="FangSong" w:cs="FangSong"/>
          <w:spacing w:val="9"/>
          <w:sz w:val="17"/>
          <w:szCs w:val="17"/>
        </w:rPr>
        <w:t>第三章</w:t>
      </w:r>
      <w:r>
        <w:rPr>
          <w:rFonts w:ascii="FangSong" w:hAnsi="FangSong" w:eastAsia="FangSong" w:cs="FangSong"/>
          <w:spacing w:val="52"/>
          <w:sz w:val="17"/>
          <w:szCs w:val="17"/>
        </w:rPr>
        <w:t xml:space="preserve"> </w:t>
      </w:r>
      <w:r>
        <w:rPr>
          <w:rFonts w:ascii="FangSong" w:hAnsi="FangSong" w:eastAsia="FangSong" w:cs="FangSong"/>
          <w:spacing w:val="9"/>
          <w:sz w:val="17"/>
          <w:szCs w:val="17"/>
        </w:rPr>
        <w:t>趋势战法</w:t>
      </w:r>
    </w:p>
    <w:p w14:paraId="45AA33FC">
      <w:pPr>
        <w:spacing w:line="458" w:lineRule="auto"/>
        <w:rPr>
          <w:rFonts w:ascii="Arial"/>
          <w:sz w:val="21"/>
        </w:rPr>
      </w:pPr>
    </w:p>
    <w:p w14:paraId="4597C414">
      <w:pPr>
        <w:pStyle w:val="7"/>
        <w:spacing w:before="71" w:line="310" w:lineRule="auto"/>
        <w:ind w:right="75"/>
        <w:jc w:val="both"/>
        <w:rPr>
          <w:sz w:val="22"/>
          <w:szCs w:val="22"/>
        </w:rPr>
      </w:pPr>
      <w:r>
        <w:rPr>
          <w:spacing w:val="-13"/>
          <w:sz w:val="22"/>
          <w:szCs w:val="22"/>
        </w:rPr>
        <w:t>也可以理解为必须完成市场的技术性修复。只有通过均线的修</w:t>
      </w:r>
      <w:r>
        <w:rPr>
          <w:spacing w:val="-14"/>
          <w:sz w:val="22"/>
          <w:szCs w:val="22"/>
        </w:rPr>
        <w:t>复后，其内部筹</w:t>
      </w:r>
      <w:r>
        <w:rPr>
          <w:sz w:val="22"/>
          <w:szCs w:val="22"/>
        </w:rPr>
        <w:t xml:space="preserve"> </w:t>
      </w:r>
      <w:r>
        <w:rPr>
          <w:spacing w:val="-13"/>
          <w:sz w:val="22"/>
          <w:szCs w:val="22"/>
        </w:rPr>
        <w:t>码的结构与情绪才能稳定，才具有长牛的基础。所以</w:t>
      </w:r>
      <w:r>
        <w:rPr>
          <w:spacing w:val="-14"/>
          <w:sz w:val="22"/>
          <w:szCs w:val="22"/>
        </w:rPr>
        <w:t>分析趋势牛股的第一个条</w:t>
      </w:r>
      <w:r>
        <w:rPr>
          <w:sz w:val="22"/>
          <w:szCs w:val="22"/>
        </w:rPr>
        <w:t xml:space="preserve"> </w:t>
      </w:r>
      <w:r>
        <w:rPr>
          <w:spacing w:val="-7"/>
          <w:sz w:val="22"/>
          <w:szCs w:val="22"/>
        </w:rPr>
        <w:t>件是长期均线。均线不仅代表的是压力与支撑力，还代表熊牛趋势的根本转</w:t>
      </w:r>
      <w:r>
        <w:rPr>
          <w:sz w:val="22"/>
          <w:szCs w:val="22"/>
        </w:rPr>
        <w:t xml:space="preserve"> </w:t>
      </w:r>
      <w:r>
        <w:rPr>
          <w:spacing w:val="-13"/>
          <w:sz w:val="22"/>
          <w:szCs w:val="22"/>
        </w:rPr>
        <w:t>变。所以，长期均线是判断趋势牛股成立的第一步。长期</w:t>
      </w:r>
      <w:r>
        <w:rPr>
          <w:spacing w:val="-14"/>
          <w:sz w:val="22"/>
          <w:szCs w:val="22"/>
        </w:rPr>
        <w:t>均线符合技术要求是</w:t>
      </w:r>
      <w:r>
        <w:rPr>
          <w:sz w:val="22"/>
          <w:szCs w:val="22"/>
        </w:rPr>
        <w:t xml:space="preserve"> </w:t>
      </w:r>
      <w:r>
        <w:rPr>
          <w:spacing w:val="-13"/>
          <w:sz w:val="22"/>
          <w:szCs w:val="22"/>
        </w:rPr>
        <w:t>产生趋势牛股的第一个条件，凡是不能站上长期均线的</w:t>
      </w:r>
      <w:r>
        <w:rPr>
          <w:spacing w:val="-14"/>
          <w:sz w:val="22"/>
          <w:szCs w:val="22"/>
        </w:rPr>
        <w:t>股票完全不可能具备长</w:t>
      </w:r>
      <w:r>
        <w:rPr>
          <w:sz w:val="22"/>
          <w:szCs w:val="22"/>
        </w:rPr>
        <w:t xml:space="preserve"> </w:t>
      </w:r>
      <w:r>
        <w:rPr>
          <w:spacing w:val="-7"/>
          <w:sz w:val="22"/>
          <w:szCs w:val="22"/>
        </w:rPr>
        <w:t>期走牛的条件(长期趋势不成立)。对于趋势牛股最重要的长期均线是10周均</w:t>
      </w:r>
      <w:r>
        <w:rPr>
          <w:spacing w:val="18"/>
          <w:sz w:val="22"/>
          <w:szCs w:val="22"/>
        </w:rPr>
        <w:t xml:space="preserve"> </w:t>
      </w:r>
      <w:r>
        <w:rPr>
          <w:spacing w:val="1"/>
          <w:sz w:val="22"/>
          <w:szCs w:val="22"/>
        </w:rPr>
        <w:t>线和30周均线。在日级级别是50日均线和200日均线。</w:t>
      </w:r>
    </w:p>
    <w:p w14:paraId="3C7A667C">
      <w:pPr>
        <w:pStyle w:val="7"/>
        <w:spacing w:line="219" w:lineRule="auto"/>
        <w:ind w:left="450"/>
        <w:rPr>
          <w:sz w:val="22"/>
          <w:szCs w:val="22"/>
        </w:rPr>
      </w:pPr>
      <w:r>
        <w:rPr>
          <w:rFonts w:ascii="Times New Roman" w:hAnsi="Times New Roman" w:eastAsia="Times New Roman" w:cs="Times New Roman"/>
          <w:spacing w:val="-6"/>
          <w:sz w:val="22"/>
          <w:szCs w:val="22"/>
        </w:rPr>
        <w:t xml:space="preserve">1. </w:t>
      </w:r>
      <w:r>
        <w:rPr>
          <w:spacing w:val="-6"/>
          <w:sz w:val="22"/>
          <w:szCs w:val="22"/>
        </w:rPr>
        <w:t>判断条件</w:t>
      </w:r>
    </w:p>
    <w:p w14:paraId="021D7B4F">
      <w:pPr>
        <w:pStyle w:val="7"/>
        <w:spacing w:before="116" w:line="312" w:lineRule="auto"/>
        <w:ind w:right="53" w:firstLine="450"/>
        <w:rPr>
          <w:sz w:val="22"/>
          <w:szCs w:val="22"/>
        </w:rPr>
      </w:pPr>
      <w:r>
        <w:rPr>
          <w:spacing w:val="-14"/>
          <w:sz w:val="22"/>
          <w:szCs w:val="22"/>
        </w:rPr>
        <w:t>看趋势牛股的方法通常通过周线观察，使用日线操作。周线观察最核心的</w:t>
      </w:r>
      <w:r>
        <w:rPr>
          <w:spacing w:val="13"/>
          <w:sz w:val="22"/>
          <w:szCs w:val="22"/>
        </w:rPr>
        <w:t xml:space="preserve"> </w:t>
      </w:r>
      <w:r>
        <w:rPr>
          <w:spacing w:val="-6"/>
          <w:sz w:val="22"/>
          <w:szCs w:val="22"/>
        </w:rPr>
        <w:t>指标是10周均线和30周均线。大家要记住，</w:t>
      </w:r>
      <w:r>
        <w:rPr>
          <w:spacing w:val="-7"/>
          <w:sz w:val="22"/>
          <w:szCs w:val="22"/>
        </w:rPr>
        <w:t>所有趋势牛股的上涨都是贴着10</w:t>
      </w:r>
      <w:r>
        <w:rPr>
          <w:sz w:val="22"/>
          <w:szCs w:val="22"/>
        </w:rPr>
        <w:t xml:space="preserve"> </w:t>
      </w:r>
      <w:r>
        <w:rPr>
          <w:spacing w:val="-6"/>
          <w:sz w:val="22"/>
          <w:szCs w:val="22"/>
        </w:rPr>
        <w:t>周均线往上涨，而股价(</w:t>
      </w:r>
      <w:r>
        <w:rPr>
          <w:rFonts w:ascii="Times New Roman" w:hAnsi="Times New Roman" w:eastAsia="Times New Roman" w:cs="Times New Roman"/>
          <w:spacing w:val="-6"/>
          <w:sz w:val="22"/>
          <w:szCs w:val="22"/>
        </w:rPr>
        <w:t xml:space="preserve">K </w:t>
      </w:r>
      <w:r>
        <w:rPr>
          <w:spacing w:val="-6"/>
          <w:sz w:val="22"/>
          <w:szCs w:val="22"/>
        </w:rPr>
        <w:t>线)有效站稳30周均线是进入牛市的基本条件。具</w:t>
      </w:r>
      <w:r>
        <w:rPr>
          <w:sz w:val="22"/>
          <w:szCs w:val="22"/>
        </w:rPr>
        <w:t xml:space="preserve"> </w:t>
      </w:r>
      <w:r>
        <w:rPr>
          <w:spacing w:val="-11"/>
          <w:sz w:val="22"/>
          <w:szCs w:val="22"/>
        </w:rPr>
        <w:t>体判断条件如下：</w:t>
      </w:r>
    </w:p>
    <w:p w14:paraId="4C6851E6">
      <w:pPr>
        <w:pStyle w:val="7"/>
        <w:spacing w:before="13" w:line="218" w:lineRule="auto"/>
        <w:ind w:left="450"/>
        <w:rPr>
          <w:sz w:val="22"/>
          <w:szCs w:val="22"/>
        </w:rPr>
      </w:pPr>
      <w:r>
        <w:rPr>
          <w:spacing w:val="-1"/>
          <w:sz w:val="22"/>
          <w:szCs w:val="22"/>
        </w:rPr>
        <w:t>(1)股价稳定站上10周均线与30周均线。</w:t>
      </w:r>
    </w:p>
    <w:p w14:paraId="5698CDB3">
      <w:pPr>
        <w:pStyle w:val="7"/>
        <w:spacing w:before="113" w:line="219" w:lineRule="auto"/>
        <w:ind w:left="450"/>
        <w:rPr>
          <w:sz w:val="22"/>
          <w:szCs w:val="22"/>
        </w:rPr>
      </w:pPr>
      <w:r>
        <w:rPr>
          <w:spacing w:val="-7"/>
          <w:sz w:val="22"/>
          <w:szCs w:val="22"/>
        </w:rPr>
        <w:t>(2)10周均线上穿30周均线，并与30周均线一起处于多头向上趋势。</w:t>
      </w:r>
    </w:p>
    <w:p w14:paraId="030B8578">
      <w:pPr>
        <w:pStyle w:val="7"/>
        <w:spacing w:before="108" w:line="265" w:lineRule="auto"/>
        <w:ind w:right="77" w:firstLine="450"/>
        <w:rPr>
          <w:sz w:val="22"/>
          <w:szCs w:val="22"/>
        </w:rPr>
      </w:pPr>
      <w:r>
        <w:rPr>
          <w:spacing w:val="3"/>
          <w:sz w:val="22"/>
          <w:szCs w:val="22"/>
        </w:rPr>
        <w:t>(3)10周均线位于30周均线之上。且10</w:t>
      </w:r>
      <w:r>
        <w:rPr>
          <w:spacing w:val="2"/>
          <w:sz w:val="22"/>
          <w:szCs w:val="22"/>
        </w:rPr>
        <w:t>周均线与30周均线之间的距离</w:t>
      </w:r>
      <w:r>
        <w:rPr>
          <w:sz w:val="22"/>
          <w:szCs w:val="22"/>
        </w:rPr>
        <w:t xml:space="preserve"> </w:t>
      </w:r>
      <w:r>
        <w:rPr>
          <w:spacing w:val="-18"/>
          <w:sz w:val="22"/>
          <w:szCs w:val="22"/>
        </w:rPr>
        <w:t>较近，并开始呈向上发散趋势。</w:t>
      </w:r>
    </w:p>
    <w:p w14:paraId="7787DB9E">
      <w:pPr>
        <w:pStyle w:val="7"/>
        <w:spacing w:before="117" w:line="311" w:lineRule="auto"/>
        <w:ind w:right="61" w:firstLine="450"/>
        <w:rPr>
          <w:sz w:val="22"/>
          <w:szCs w:val="22"/>
        </w:rPr>
      </w:pPr>
      <w:r>
        <w:rPr>
          <w:spacing w:val="-13"/>
          <w:sz w:val="22"/>
          <w:szCs w:val="22"/>
        </w:rPr>
        <w:t>需要注意的是，股价在修复的过程中，可能</w:t>
      </w:r>
      <w:r>
        <w:rPr>
          <w:spacing w:val="-14"/>
          <w:sz w:val="22"/>
          <w:szCs w:val="22"/>
        </w:rPr>
        <w:t>会在30周均线上下震荡，这并</w:t>
      </w:r>
      <w:r>
        <w:rPr>
          <w:sz w:val="22"/>
          <w:szCs w:val="22"/>
        </w:rPr>
        <w:t xml:space="preserve"> </w:t>
      </w:r>
      <w:r>
        <w:rPr>
          <w:spacing w:val="-17"/>
          <w:sz w:val="22"/>
          <w:szCs w:val="22"/>
        </w:rPr>
        <w:t>不表示已经站稳，因为技术性修复还没有结束。</w:t>
      </w:r>
    </w:p>
    <w:p w14:paraId="000AA09C">
      <w:pPr>
        <w:pStyle w:val="7"/>
        <w:spacing w:before="1" w:line="219" w:lineRule="auto"/>
        <w:ind w:left="450"/>
        <w:rPr>
          <w:sz w:val="22"/>
          <w:szCs w:val="22"/>
        </w:rPr>
      </w:pPr>
      <w:r>
        <w:rPr>
          <w:rFonts w:ascii="Times New Roman" w:hAnsi="Times New Roman" w:eastAsia="Times New Roman" w:cs="Times New Roman"/>
          <w:spacing w:val="-2"/>
          <w:sz w:val="22"/>
          <w:szCs w:val="22"/>
        </w:rPr>
        <w:t>2.</w:t>
      </w:r>
      <w:r>
        <w:rPr>
          <w:rFonts w:ascii="Times New Roman" w:hAnsi="Times New Roman" w:eastAsia="Times New Roman" w:cs="Times New Roman"/>
          <w:spacing w:val="-16"/>
          <w:sz w:val="22"/>
          <w:szCs w:val="22"/>
        </w:rPr>
        <w:t xml:space="preserve"> </w:t>
      </w:r>
      <w:r>
        <w:rPr>
          <w:spacing w:val="-2"/>
          <w:sz w:val="22"/>
          <w:szCs w:val="22"/>
        </w:rPr>
        <w:t>技术要点</w:t>
      </w:r>
    </w:p>
    <w:p w14:paraId="3A13B1F1">
      <w:pPr>
        <w:pStyle w:val="7"/>
        <w:spacing w:before="116" w:line="293" w:lineRule="auto"/>
        <w:ind w:firstLine="450"/>
        <w:rPr>
          <w:sz w:val="22"/>
          <w:szCs w:val="22"/>
        </w:rPr>
      </w:pPr>
      <w:r>
        <w:rPr>
          <w:spacing w:val="-9"/>
          <w:sz w:val="22"/>
          <w:szCs w:val="22"/>
        </w:rPr>
        <w:t>(1)在突破平台上涨后，要注意</w:t>
      </w:r>
      <w:r>
        <w:rPr>
          <w:rFonts w:ascii="Times New Roman" w:hAnsi="Times New Roman" w:eastAsia="Times New Roman" w:cs="Times New Roman"/>
          <w:spacing w:val="-9"/>
          <w:sz w:val="22"/>
          <w:szCs w:val="22"/>
        </w:rPr>
        <w:t xml:space="preserve">K </w:t>
      </w:r>
      <w:r>
        <w:rPr>
          <w:spacing w:val="-9"/>
          <w:sz w:val="22"/>
          <w:szCs w:val="22"/>
        </w:rPr>
        <w:t>线与10周线的关系。最标准的</w:t>
      </w:r>
      <w:r>
        <w:rPr>
          <w:spacing w:val="-10"/>
          <w:sz w:val="22"/>
          <w:szCs w:val="22"/>
        </w:rPr>
        <w:t>上涨趋势</w:t>
      </w:r>
      <w:r>
        <w:rPr>
          <w:sz w:val="22"/>
          <w:szCs w:val="22"/>
        </w:rPr>
        <w:t xml:space="preserve"> </w:t>
      </w:r>
      <w:r>
        <w:rPr>
          <w:spacing w:val="-4"/>
          <w:sz w:val="22"/>
          <w:szCs w:val="22"/>
        </w:rPr>
        <w:t>是</w:t>
      </w:r>
      <w:r>
        <w:rPr>
          <w:rFonts w:ascii="Times New Roman" w:hAnsi="Times New Roman" w:eastAsia="Times New Roman" w:cs="Times New Roman"/>
          <w:spacing w:val="-4"/>
          <w:sz w:val="22"/>
          <w:szCs w:val="22"/>
        </w:rPr>
        <w:t xml:space="preserve">K </w:t>
      </w:r>
      <w:r>
        <w:rPr>
          <w:spacing w:val="-4"/>
          <w:sz w:val="22"/>
          <w:szCs w:val="22"/>
        </w:rPr>
        <w:t>线价格贴着10周线，10周线呈曲线上涨。如果</w:t>
      </w:r>
      <w:r>
        <w:rPr>
          <w:rFonts w:ascii="Times New Roman" w:hAnsi="Times New Roman" w:eastAsia="Times New Roman" w:cs="Times New Roman"/>
          <w:spacing w:val="-4"/>
          <w:sz w:val="22"/>
          <w:szCs w:val="22"/>
        </w:rPr>
        <w:t xml:space="preserve">K </w:t>
      </w:r>
      <w:r>
        <w:rPr>
          <w:spacing w:val="-4"/>
          <w:sz w:val="22"/>
          <w:szCs w:val="22"/>
        </w:rPr>
        <w:t>线上涨与10周线脱离，</w:t>
      </w:r>
      <w:r>
        <w:rPr>
          <w:spacing w:val="13"/>
          <w:sz w:val="22"/>
          <w:szCs w:val="22"/>
        </w:rPr>
        <w:t xml:space="preserve"> </w:t>
      </w:r>
      <w:r>
        <w:rPr>
          <w:spacing w:val="-12"/>
          <w:sz w:val="22"/>
          <w:szCs w:val="22"/>
        </w:rPr>
        <w:t>出现较大空间，必然会被10周线拉回，所以会导致</w:t>
      </w:r>
      <w:r>
        <w:rPr>
          <w:rFonts w:ascii="Times New Roman" w:hAnsi="Times New Roman" w:eastAsia="Times New Roman" w:cs="Times New Roman"/>
          <w:spacing w:val="-12"/>
          <w:sz w:val="22"/>
          <w:szCs w:val="22"/>
        </w:rPr>
        <w:t xml:space="preserve">K </w:t>
      </w:r>
      <w:r>
        <w:rPr>
          <w:spacing w:val="-13"/>
          <w:sz w:val="22"/>
          <w:szCs w:val="22"/>
        </w:rPr>
        <w:t>线与10周线脱离，这可以</w:t>
      </w:r>
      <w:r>
        <w:rPr>
          <w:sz w:val="22"/>
          <w:szCs w:val="22"/>
        </w:rPr>
        <w:t xml:space="preserve">  </w:t>
      </w:r>
      <w:r>
        <w:rPr>
          <w:spacing w:val="-7"/>
          <w:sz w:val="22"/>
          <w:szCs w:val="22"/>
        </w:rPr>
        <w:t>说明两种情况：一是股价在日线上有快速上涨；二是上涨的过程上下起伏会</w:t>
      </w:r>
      <w:r>
        <w:rPr>
          <w:sz w:val="22"/>
          <w:szCs w:val="22"/>
        </w:rPr>
        <w:t xml:space="preserve"> </w:t>
      </w:r>
      <w:r>
        <w:rPr>
          <w:spacing w:val="-9"/>
          <w:sz w:val="22"/>
          <w:szCs w:val="22"/>
        </w:rPr>
        <w:t>较大。</w:t>
      </w:r>
    </w:p>
    <w:p w14:paraId="7D6BE068">
      <w:pPr>
        <w:pStyle w:val="7"/>
        <w:spacing w:before="125" w:line="292" w:lineRule="auto"/>
        <w:ind w:right="77" w:firstLine="450"/>
        <w:rPr>
          <w:sz w:val="22"/>
          <w:szCs w:val="22"/>
        </w:rPr>
      </w:pPr>
      <w:r>
        <w:rPr>
          <w:spacing w:val="-11"/>
          <w:sz w:val="22"/>
          <w:szCs w:val="22"/>
        </w:rPr>
        <w:t>(2)趋势牛股在上涨的过程中会出现多次整理，这个整理通常发生在偏离</w:t>
      </w:r>
      <w:r>
        <w:rPr>
          <w:spacing w:val="14"/>
          <w:sz w:val="22"/>
          <w:szCs w:val="22"/>
        </w:rPr>
        <w:t xml:space="preserve"> </w:t>
      </w:r>
      <w:r>
        <w:rPr>
          <w:spacing w:val="-6"/>
          <w:sz w:val="22"/>
          <w:szCs w:val="22"/>
        </w:rPr>
        <w:t>10周或30周线较远时。所以，在趋势牛股偏离1</w:t>
      </w:r>
      <w:r>
        <w:rPr>
          <w:spacing w:val="-7"/>
          <w:sz w:val="22"/>
          <w:szCs w:val="22"/>
        </w:rPr>
        <w:t>0周均线或30周均线较远，出</w:t>
      </w:r>
      <w:r>
        <w:rPr>
          <w:sz w:val="22"/>
          <w:szCs w:val="22"/>
        </w:rPr>
        <w:t xml:space="preserve"> </w:t>
      </w:r>
      <w:r>
        <w:rPr>
          <w:spacing w:val="-13"/>
          <w:sz w:val="22"/>
          <w:szCs w:val="22"/>
        </w:rPr>
        <w:t>现整理段后必然要回避采取波段操作，而趋势牛股在中</w:t>
      </w:r>
      <w:r>
        <w:rPr>
          <w:spacing w:val="-14"/>
          <w:sz w:val="22"/>
          <w:szCs w:val="22"/>
        </w:rPr>
        <w:t>途整理的最大回撤点就</w:t>
      </w:r>
      <w:r>
        <w:rPr>
          <w:sz w:val="22"/>
          <w:szCs w:val="22"/>
        </w:rPr>
        <w:t xml:space="preserve"> </w:t>
      </w:r>
      <w:r>
        <w:rPr>
          <w:spacing w:val="-13"/>
          <w:sz w:val="22"/>
          <w:szCs w:val="22"/>
        </w:rPr>
        <w:t>是30周均线，回撤30周均线，周成交量持续萎缩，随后放量反弹，就是波段再</w:t>
      </w:r>
      <w:r>
        <w:rPr>
          <w:spacing w:val="15"/>
          <w:sz w:val="22"/>
          <w:szCs w:val="22"/>
        </w:rPr>
        <w:t xml:space="preserve"> </w:t>
      </w:r>
      <w:r>
        <w:rPr>
          <w:spacing w:val="-13"/>
          <w:sz w:val="22"/>
          <w:szCs w:val="22"/>
        </w:rPr>
        <w:t>次买入点。如果回撤时幅度小，回撤10周均线出现上述特征，也是波段再次买</w:t>
      </w:r>
    </w:p>
    <w:p w14:paraId="2CDD55BC">
      <w:pPr>
        <w:spacing w:line="292" w:lineRule="auto"/>
        <w:rPr>
          <w:sz w:val="22"/>
          <w:szCs w:val="22"/>
        </w:rPr>
        <w:sectPr>
          <w:pgSz w:w="8740" w:h="13340"/>
          <w:pgMar w:top="400" w:right="1120" w:bottom="727" w:left="509" w:header="0" w:footer="546" w:gutter="0"/>
          <w:cols w:space="720" w:num="1"/>
        </w:sectPr>
      </w:pPr>
    </w:p>
    <w:p w14:paraId="1ED3BB30">
      <w:pPr>
        <w:spacing w:line="416" w:lineRule="auto"/>
        <w:rPr>
          <w:rFonts w:ascii="Arial"/>
          <w:sz w:val="21"/>
        </w:rPr>
      </w:pPr>
    </w:p>
    <w:p w14:paraId="3AA49AAC">
      <w:pPr>
        <w:pStyle w:val="7"/>
        <w:spacing w:before="72" w:line="224" w:lineRule="auto"/>
        <w:rPr>
          <w:sz w:val="22"/>
          <w:szCs w:val="22"/>
        </w:rPr>
      </w:pPr>
      <w:r>
        <w:rPr>
          <w:spacing w:val="-9"/>
          <w:sz w:val="22"/>
          <w:szCs w:val="22"/>
        </w:rPr>
        <w:t>入点。</w:t>
      </w:r>
    </w:p>
    <w:p w14:paraId="44E7A65C">
      <w:pPr>
        <w:pStyle w:val="7"/>
        <w:spacing w:before="107" w:line="311" w:lineRule="auto"/>
        <w:ind w:right="81" w:firstLine="409"/>
        <w:jc w:val="both"/>
        <w:rPr>
          <w:sz w:val="22"/>
          <w:szCs w:val="22"/>
        </w:rPr>
      </w:pPr>
      <w:r>
        <w:rPr>
          <w:spacing w:val="-6"/>
          <w:sz w:val="22"/>
          <w:szCs w:val="22"/>
        </w:rPr>
        <w:t>(3)在突破上涨平台之前，</w:t>
      </w:r>
      <w:r>
        <w:rPr>
          <w:rFonts w:ascii="Times New Roman" w:hAnsi="Times New Roman" w:eastAsia="Times New Roman" w:cs="Times New Roman"/>
          <w:spacing w:val="-6"/>
          <w:sz w:val="22"/>
          <w:szCs w:val="22"/>
        </w:rPr>
        <w:t>K</w:t>
      </w:r>
      <w:r>
        <w:rPr>
          <w:spacing w:val="-6"/>
          <w:sz w:val="22"/>
          <w:szCs w:val="22"/>
        </w:rPr>
        <w:t>线可能已经突破30周线，10周均线和30周均</w:t>
      </w:r>
      <w:r>
        <w:rPr>
          <w:spacing w:val="4"/>
          <w:sz w:val="22"/>
          <w:szCs w:val="22"/>
        </w:rPr>
        <w:t xml:space="preserve"> </w:t>
      </w:r>
      <w:r>
        <w:rPr>
          <w:spacing w:val="-12"/>
          <w:sz w:val="22"/>
          <w:szCs w:val="22"/>
        </w:rPr>
        <w:t>线可能呈现纠缠趋势，</w:t>
      </w:r>
      <w:r>
        <w:rPr>
          <w:rFonts w:ascii="Times New Roman" w:hAnsi="Times New Roman" w:eastAsia="Times New Roman" w:cs="Times New Roman"/>
          <w:spacing w:val="-12"/>
          <w:sz w:val="22"/>
          <w:szCs w:val="22"/>
        </w:rPr>
        <w:t xml:space="preserve">K </w:t>
      </w:r>
      <w:r>
        <w:rPr>
          <w:spacing w:val="-12"/>
          <w:sz w:val="22"/>
          <w:szCs w:val="22"/>
        </w:rPr>
        <w:t>线形态收敛，这是强势整理的体现。</w:t>
      </w:r>
      <w:r>
        <w:rPr>
          <w:spacing w:val="-13"/>
          <w:sz w:val="22"/>
          <w:szCs w:val="22"/>
        </w:rPr>
        <w:t>最后形成多头趋</w:t>
      </w:r>
      <w:r>
        <w:rPr>
          <w:sz w:val="22"/>
          <w:szCs w:val="22"/>
        </w:rPr>
        <w:t xml:space="preserve"> </w:t>
      </w:r>
      <w:r>
        <w:rPr>
          <w:spacing w:val="-13"/>
          <w:sz w:val="22"/>
          <w:szCs w:val="22"/>
        </w:rPr>
        <w:t>势双双向上，股价放量突破重要历史平台，这就是启动的重要信号。但也有个</w:t>
      </w:r>
      <w:r>
        <w:rPr>
          <w:spacing w:val="9"/>
          <w:sz w:val="22"/>
          <w:szCs w:val="22"/>
        </w:rPr>
        <w:t xml:space="preserve"> </w:t>
      </w:r>
      <w:r>
        <w:rPr>
          <w:spacing w:val="-6"/>
          <w:sz w:val="22"/>
          <w:szCs w:val="22"/>
        </w:rPr>
        <w:t>股在下跌后直接出现</w:t>
      </w:r>
      <w:r>
        <w:rPr>
          <w:rFonts w:ascii="Times New Roman" w:hAnsi="Times New Roman" w:eastAsia="Times New Roman" w:cs="Times New Roman"/>
          <w:spacing w:val="-6"/>
          <w:sz w:val="22"/>
          <w:szCs w:val="22"/>
        </w:rPr>
        <w:t xml:space="preserve">V </w:t>
      </w:r>
      <w:r>
        <w:rPr>
          <w:spacing w:val="-6"/>
          <w:sz w:val="22"/>
          <w:szCs w:val="22"/>
        </w:rPr>
        <w:t>型反转，10周均线上穿30周均线，这类个股的基础就</w:t>
      </w:r>
      <w:r>
        <w:rPr>
          <w:spacing w:val="11"/>
          <w:sz w:val="22"/>
          <w:szCs w:val="22"/>
        </w:rPr>
        <w:t xml:space="preserve"> </w:t>
      </w:r>
      <w:r>
        <w:rPr>
          <w:spacing w:val="-6"/>
          <w:sz w:val="22"/>
          <w:szCs w:val="22"/>
        </w:rPr>
        <w:t>没有强势整理后突破平台的个股牢靠。30周均线最标准的走势是呈40度</w:t>
      </w:r>
      <w:r>
        <w:rPr>
          <w:spacing w:val="-7"/>
          <w:sz w:val="22"/>
          <w:szCs w:val="22"/>
        </w:rPr>
        <w:t>以上</w:t>
      </w:r>
      <w:r>
        <w:rPr>
          <w:sz w:val="22"/>
          <w:szCs w:val="22"/>
        </w:rPr>
        <w:t xml:space="preserve"> </w:t>
      </w:r>
      <w:r>
        <w:rPr>
          <w:spacing w:val="-12"/>
          <w:sz w:val="22"/>
          <w:szCs w:val="22"/>
        </w:rPr>
        <w:t>角开始上涨。如果上涨低于40度角，力度会偏弱。</w:t>
      </w:r>
    </w:p>
    <w:p w14:paraId="2989A9C3">
      <w:pPr>
        <w:spacing w:before="7" w:line="227" w:lineRule="auto"/>
        <w:ind w:left="409"/>
        <w:rPr>
          <w:rFonts w:ascii="KaiTi" w:hAnsi="KaiTi" w:eastAsia="KaiTi" w:cs="KaiTi"/>
          <w:sz w:val="22"/>
          <w:szCs w:val="22"/>
        </w:rPr>
      </w:pPr>
      <w:r>
        <w:rPr>
          <w:rFonts w:ascii="KaiTi" w:hAnsi="KaiTi" w:eastAsia="KaiTi" w:cs="KaiTi"/>
          <w:spacing w:val="-1"/>
          <w:sz w:val="22"/>
          <w:szCs w:val="22"/>
        </w:rPr>
        <w:t>(二)图形特点</w:t>
      </w:r>
    </w:p>
    <w:p w14:paraId="13EFE34A">
      <w:pPr>
        <w:pStyle w:val="7"/>
        <w:spacing w:before="106" w:line="311" w:lineRule="auto"/>
        <w:ind w:right="19" w:firstLine="409"/>
        <w:jc w:val="both"/>
        <w:rPr>
          <w:sz w:val="22"/>
          <w:szCs w:val="22"/>
        </w:rPr>
      </w:pPr>
      <w:r>
        <w:rPr>
          <w:spacing w:val="-13"/>
          <w:sz w:val="22"/>
          <w:szCs w:val="22"/>
        </w:rPr>
        <w:t>经验丰富的交易者都明白，不论个股还是指数，其运行的轨迹都离不开通</w:t>
      </w:r>
      <w:r>
        <w:rPr>
          <w:spacing w:val="13"/>
          <w:sz w:val="22"/>
          <w:szCs w:val="22"/>
        </w:rPr>
        <w:t xml:space="preserve"> </w:t>
      </w:r>
      <w:r>
        <w:rPr>
          <w:spacing w:val="-19"/>
          <w:sz w:val="22"/>
          <w:szCs w:val="22"/>
        </w:rPr>
        <w:t>道、图形和线，这是受制于自然法则的体现。很多散户觉得通道、图形和线没有</w:t>
      </w:r>
      <w:r>
        <w:rPr>
          <w:spacing w:val="14"/>
          <w:sz w:val="22"/>
          <w:szCs w:val="22"/>
        </w:rPr>
        <w:t xml:space="preserve"> </w:t>
      </w:r>
      <w:r>
        <w:rPr>
          <w:spacing w:val="-18"/>
          <w:sz w:val="22"/>
          <w:szCs w:val="22"/>
        </w:rPr>
        <w:t>用，应用起来没有效果，这完全是一个误区。通道、图形形态和趋势</w:t>
      </w:r>
      <w:r>
        <w:rPr>
          <w:spacing w:val="-19"/>
          <w:sz w:val="22"/>
          <w:szCs w:val="22"/>
        </w:rPr>
        <w:t>线，体现了</w:t>
      </w:r>
      <w:r>
        <w:rPr>
          <w:sz w:val="22"/>
          <w:szCs w:val="22"/>
        </w:rPr>
        <w:t xml:space="preserve"> </w:t>
      </w:r>
      <w:r>
        <w:rPr>
          <w:spacing w:val="-13"/>
          <w:sz w:val="22"/>
          <w:szCs w:val="22"/>
        </w:rPr>
        <w:t>市场或个股内部筹码结构是否稳定，体现了趋势和规律。凡成功的交易大师都</w:t>
      </w:r>
      <w:r>
        <w:rPr>
          <w:spacing w:val="9"/>
          <w:sz w:val="22"/>
          <w:szCs w:val="22"/>
        </w:rPr>
        <w:t xml:space="preserve"> </w:t>
      </w:r>
      <w:r>
        <w:rPr>
          <w:spacing w:val="-10"/>
          <w:sz w:val="22"/>
          <w:szCs w:val="22"/>
        </w:rPr>
        <w:t>非常重视对图形的辨识。图形如人的外表，外表当然</w:t>
      </w:r>
      <w:r>
        <w:rPr>
          <w:spacing w:val="-11"/>
          <w:sz w:val="22"/>
          <w:szCs w:val="22"/>
        </w:rPr>
        <w:t>重要。结合周期与环境，</w:t>
      </w:r>
      <w:r>
        <w:rPr>
          <w:sz w:val="22"/>
          <w:szCs w:val="22"/>
        </w:rPr>
        <w:t xml:space="preserve"> </w:t>
      </w:r>
      <w:r>
        <w:rPr>
          <w:spacing w:val="-15"/>
          <w:sz w:val="22"/>
          <w:szCs w:val="22"/>
        </w:rPr>
        <w:t>再配上量价关系来分析图形，图形就能展现很好的技术指导作用。</w:t>
      </w:r>
    </w:p>
    <w:p w14:paraId="68604500">
      <w:pPr>
        <w:pStyle w:val="7"/>
        <w:spacing w:before="18" w:line="313" w:lineRule="auto"/>
        <w:ind w:right="99" w:firstLine="409"/>
        <w:rPr>
          <w:sz w:val="22"/>
          <w:szCs w:val="22"/>
        </w:rPr>
      </w:pPr>
      <w:r>
        <w:rPr>
          <w:spacing w:val="-6"/>
          <w:sz w:val="22"/>
          <w:szCs w:val="22"/>
        </w:rPr>
        <w:t>所有趋势交易大师都非常重视对图形的研究。趋势图形的分析主要是两</w:t>
      </w:r>
      <w:r>
        <w:rPr>
          <w:spacing w:val="5"/>
          <w:sz w:val="22"/>
          <w:szCs w:val="22"/>
        </w:rPr>
        <w:t xml:space="preserve"> </w:t>
      </w:r>
      <w:r>
        <w:rPr>
          <w:spacing w:val="-13"/>
          <w:sz w:val="22"/>
          <w:szCs w:val="22"/>
        </w:rPr>
        <w:t>个方面：一是</w:t>
      </w:r>
      <w:r>
        <w:rPr>
          <w:rFonts w:ascii="Times New Roman" w:hAnsi="Times New Roman" w:eastAsia="Times New Roman" w:cs="Times New Roman"/>
          <w:spacing w:val="-13"/>
          <w:sz w:val="22"/>
          <w:szCs w:val="22"/>
        </w:rPr>
        <w:t xml:space="preserve">K </w:t>
      </w:r>
      <w:r>
        <w:rPr>
          <w:spacing w:val="-13"/>
          <w:sz w:val="22"/>
          <w:szCs w:val="22"/>
        </w:rPr>
        <w:t>线整体长期形态，二是短期局部</w:t>
      </w:r>
      <w:r>
        <w:rPr>
          <w:rFonts w:ascii="Times New Roman" w:hAnsi="Times New Roman" w:eastAsia="Times New Roman" w:cs="Times New Roman"/>
          <w:spacing w:val="-13"/>
          <w:sz w:val="22"/>
          <w:szCs w:val="22"/>
        </w:rPr>
        <w:t xml:space="preserve">K </w:t>
      </w:r>
      <w:r>
        <w:rPr>
          <w:spacing w:val="-13"/>
          <w:sz w:val="22"/>
          <w:szCs w:val="22"/>
        </w:rPr>
        <w:t>线图形走势。</w:t>
      </w:r>
    </w:p>
    <w:p w14:paraId="2E694EE8">
      <w:pPr>
        <w:pStyle w:val="7"/>
        <w:spacing w:before="2" w:line="311" w:lineRule="auto"/>
        <w:ind w:firstLine="409"/>
        <w:jc w:val="both"/>
        <w:rPr>
          <w:sz w:val="22"/>
          <w:szCs w:val="22"/>
        </w:rPr>
      </w:pPr>
      <w:r>
        <w:rPr>
          <w:spacing w:val="-6"/>
          <w:sz w:val="22"/>
          <w:szCs w:val="22"/>
        </w:rPr>
        <w:t>先说</w:t>
      </w:r>
      <w:r>
        <w:rPr>
          <w:rFonts w:ascii="Times New Roman" w:hAnsi="Times New Roman" w:eastAsia="Times New Roman" w:cs="Times New Roman"/>
          <w:spacing w:val="-6"/>
          <w:sz w:val="22"/>
          <w:szCs w:val="22"/>
        </w:rPr>
        <w:t>K</w:t>
      </w:r>
      <w:r>
        <w:rPr>
          <w:rFonts w:ascii="Times New Roman" w:hAnsi="Times New Roman" w:eastAsia="Times New Roman" w:cs="Times New Roman"/>
          <w:spacing w:val="18"/>
          <w:sz w:val="22"/>
          <w:szCs w:val="22"/>
        </w:rPr>
        <w:t xml:space="preserve"> </w:t>
      </w:r>
      <w:r>
        <w:rPr>
          <w:spacing w:val="-6"/>
          <w:sz w:val="22"/>
          <w:szCs w:val="22"/>
        </w:rPr>
        <w:t>线长期整体图形。历史图形体现了一只个股从</w:t>
      </w:r>
      <w:r>
        <w:rPr>
          <w:spacing w:val="-7"/>
          <w:sz w:val="22"/>
          <w:szCs w:val="22"/>
        </w:rPr>
        <w:t>形体上分辨的机会</w:t>
      </w:r>
      <w:r>
        <w:rPr>
          <w:sz w:val="22"/>
          <w:szCs w:val="22"/>
        </w:rPr>
        <w:t xml:space="preserve">  </w:t>
      </w:r>
      <w:r>
        <w:rPr>
          <w:spacing w:val="-13"/>
          <w:sz w:val="22"/>
          <w:szCs w:val="22"/>
        </w:rPr>
        <w:t>性。尤其是趋势牛股，在突破平台前的整体形态要比较漂亮。这个漂亮体现在</w:t>
      </w:r>
      <w:r>
        <w:rPr>
          <w:spacing w:val="6"/>
          <w:sz w:val="22"/>
          <w:szCs w:val="22"/>
        </w:rPr>
        <w:t xml:space="preserve">  </w:t>
      </w:r>
      <w:r>
        <w:rPr>
          <w:spacing w:val="-19"/>
          <w:sz w:val="22"/>
          <w:szCs w:val="22"/>
        </w:rPr>
        <w:t>三个方面：一是在见底上涨的过程中，其反弹的底部要逐渐抬高，这是主力在建</w:t>
      </w:r>
      <w:r>
        <w:rPr>
          <w:spacing w:val="6"/>
          <w:sz w:val="22"/>
          <w:szCs w:val="22"/>
        </w:rPr>
        <w:t xml:space="preserve">  </w:t>
      </w:r>
      <w:r>
        <w:rPr>
          <w:spacing w:val="-13"/>
          <w:sz w:val="22"/>
          <w:szCs w:val="22"/>
        </w:rPr>
        <w:t>仓整理的走势；二是突破平台前上方没有大的历史平台压制，这种形态一旦放</w:t>
      </w:r>
      <w:r>
        <w:rPr>
          <w:spacing w:val="4"/>
          <w:sz w:val="22"/>
          <w:szCs w:val="22"/>
        </w:rPr>
        <w:t xml:space="preserve">  </w:t>
      </w:r>
      <w:r>
        <w:rPr>
          <w:spacing w:val="-16"/>
          <w:sz w:val="22"/>
          <w:szCs w:val="22"/>
        </w:rPr>
        <w:t>量突破，上涨的空间就没有压力，如果一只股票在突破历史平台后，上面空旷，</w:t>
      </w:r>
      <w:r>
        <w:rPr>
          <w:spacing w:val="9"/>
          <w:sz w:val="22"/>
          <w:szCs w:val="22"/>
        </w:rPr>
        <w:t xml:space="preserve"> </w:t>
      </w:r>
      <w:r>
        <w:rPr>
          <w:spacing w:val="-13"/>
          <w:sz w:val="22"/>
          <w:szCs w:val="22"/>
        </w:rPr>
        <w:t>没有任何的历史平台压力，在牛市中的上涨将一马平川，这比个股基本面重要</w:t>
      </w:r>
      <w:r>
        <w:rPr>
          <w:spacing w:val="5"/>
          <w:sz w:val="22"/>
          <w:szCs w:val="22"/>
        </w:rPr>
        <w:t xml:space="preserve">  </w:t>
      </w:r>
      <w:r>
        <w:rPr>
          <w:spacing w:val="-13"/>
          <w:sz w:val="22"/>
          <w:szCs w:val="22"/>
        </w:rPr>
        <w:t>得多。三是成交量呈现上涨放量，下跌缩量关系，突破平台时呈放量明显的特</w:t>
      </w:r>
      <w:r>
        <w:rPr>
          <w:spacing w:val="4"/>
          <w:sz w:val="22"/>
          <w:szCs w:val="22"/>
        </w:rPr>
        <w:t xml:space="preserve">  </w:t>
      </w:r>
      <w:r>
        <w:rPr>
          <w:spacing w:val="-13"/>
          <w:sz w:val="22"/>
          <w:szCs w:val="22"/>
        </w:rPr>
        <w:t>点。成交量的本质是动力，上涨必须要有动力支撑。历史平台是历史被套筹码</w:t>
      </w:r>
      <w:r>
        <w:rPr>
          <w:spacing w:val="5"/>
          <w:sz w:val="22"/>
          <w:szCs w:val="22"/>
        </w:rPr>
        <w:t xml:space="preserve">  </w:t>
      </w:r>
      <w:r>
        <w:rPr>
          <w:spacing w:val="-19"/>
          <w:sz w:val="22"/>
          <w:szCs w:val="22"/>
        </w:rPr>
        <w:t>的集中地，在这些位置会出现大量的筹码供应，如果个股没有特别大的利好，主</w:t>
      </w:r>
      <w:r>
        <w:rPr>
          <w:spacing w:val="7"/>
          <w:sz w:val="22"/>
          <w:szCs w:val="22"/>
        </w:rPr>
        <w:t xml:space="preserve">  </w:t>
      </w:r>
      <w:r>
        <w:rPr>
          <w:spacing w:val="-7"/>
          <w:sz w:val="22"/>
          <w:szCs w:val="22"/>
        </w:rPr>
        <w:t>力资金通常不会主动碰这些区域，也就不会选择这些个股作为参与对象。所</w:t>
      </w:r>
      <w:r>
        <w:rPr>
          <w:spacing w:val="8"/>
          <w:sz w:val="22"/>
          <w:szCs w:val="22"/>
        </w:rPr>
        <w:t xml:space="preserve">  </w:t>
      </w:r>
      <w:r>
        <w:rPr>
          <w:spacing w:val="-19"/>
          <w:sz w:val="22"/>
          <w:szCs w:val="22"/>
        </w:rPr>
        <w:t>以，有较重的历史平台压制的个股，说明问题较多，不容易成为趋势牛股。这也</w:t>
      </w:r>
      <w:r>
        <w:rPr>
          <w:spacing w:val="7"/>
          <w:sz w:val="22"/>
          <w:szCs w:val="22"/>
        </w:rPr>
        <w:t xml:space="preserve">  </w:t>
      </w:r>
      <w:r>
        <w:rPr>
          <w:spacing w:val="-7"/>
          <w:sz w:val="22"/>
          <w:szCs w:val="22"/>
        </w:rPr>
        <w:t>是强调图形要漂亮的主要原因之一。复杂的图形形态所展现的就是股价上面</w:t>
      </w:r>
      <w:r>
        <w:rPr>
          <w:spacing w:val="5"/>
          <w:sz w:val="22"/>
          <w:szCs w:val="22"/>
        </w:rPr>
        <w:t xml:space="preserve">  </w:t>
      </w:r>
      <w:r>
        <w:rPr>
          <w:spacing w:val="-12"/>
          <w:sz w:val="22"/>
          <w:szCs w:val="22"/>
        </w:rPr>
        <w:t>层层压力和复杂的筹码稳定度。</w:t>
      </w:r>
    </w:p>
    <w:p w14:paraId="7A0A4876">
      <w:pPr>
        <w:spacing w:line="311" w:lineRule="auto"/>
        <w:rPr>
          <w:sz w:val="22"/>
          <w:szCs w:val="22"/>
        </w:rPr>
        <w:sectPr>
          <w:pgSz w:w="8770" w:h="13360"/>
          <w:pgMar w:top="932" w:right="459" w:bottom="734" w:left="1160" w:header="671" w:footer="573" w:gutter="0"/>
          <w:cols w:space="720" w:num="1"/>
        </w:sectPr>
      </w:pPr>
    </w:p>
    <w:p w14:paraId="6006B4A9">
      <w:pPr>
        <w:spacing w:before="285" w:line="222" w:lineRule="auto"/>
        <w:ind w:left="5609"/>
        <w:rPr>
          <w:rFonts w:ascii="FangSong" w:hAnsi="FangSong" w:eastAsia="FangSong" w:cs="FangSong"/>
          <w:sz w:val="17"/>
          <w:szCs w:val="17"/>
        </w:rPr>
      </w:pPr>
      <w:r>
        <w:rPr>
          <w:rFonts w:ascii="FangSong" w:hAnsi="FangSong" w:eastAsia="FangSong" w:cs="FangSong"/>
          <w:spacing w:val="12"/>
          <w:sz w:val="17"/>
          <w:szCs w:val="17"/>
        </w:rPr>
        <w:t>第三章</w:t>
      </w:r>
      <w:r>
        <w:rPr>
          <w:rFonts w:ascii="FangSong" w:hAnsi="FangSong" w:eastAsia="FangSong" w:cs="FangSong"/>
          <w:spacing w:val="61"/>
          <w:sz w:val="17"/>
          <w:szCs w:val="17"/>
        </w:rPr>
        <w:t xml:space="preserve"> </w:t>
      </w:r>
      <w:r>
        <w:rPr>
          <w:rFonts w:ascii="FangSong" w:hAnsi="FangSong" w:eastAsia="FangSong" w:cs="FangSong"/>
          <w:spacing w:val="12"/>
          <w:sz w:val="17"/>
          <w:szCs w:val="17"/>
        </w:rPr>
        <w:t>趋势战法</w:t>
      </w:r>
    </w:p>
    <w:p w14:paraId="0DA8F4B6">
      <w:pPr>
        <w:spacing w:line="446" w:lineRule="auto"/>
        <w:rPr>
          <w:rFonts w:ascii="Arial"/>
          <w:sz w:val="21"/>
        </w:rPr>
      </w:pPr>
    </w:p>
    <w:p w14:paraId="5B999ED0">
      <w:pPr>
        <w:pStyle w:val="7"/>
        <w:spacing w:before="71" w:line="311" w:lineRule="auto"/>
        <w:ind w:right="73" w:firstLine="430"/>
        <w:jc w:val="both"/>
        <w:rPr>
          <w:sz w:val="22"/>
          <w:szCs w:val="22"/>
        </w:rPr>
      </w:pPr>
      <w:r>
        <w:rPr>
          <w:spacing w:val="-6"/>
          <w:sz w:val="22"/>
          <w:szCs w:val="22"/>
        </w:rPr>
        <w:t>再说短期</w:t>
      </w:r>
      <w:r>
        <w:rPr>
          <w:rFonts w:ascii="Times New Roman" w:hAnsi="Times New Roman" w:eastAsia="Times New Roman" w:cs="Times New Roman"/>
          <w:spacing w:val="-6"/>
          <w:sz w:val="22"/>
          <w:szCs w:val="22"/>
        </w:rPr>
        <w:t xml:space="preserve">K </w:t>
      </w:r>
      <w:r>
        <w:rPr>
          <w:spacing w:val="-6"/>
          <w:sz w:val="22"/>
          <w:szCs w:val="22"/>
        </w:rPr>
        <w:t>线图形。短期图形主要是指</w:t>
      </w:r>
      <w:r>
        <w:rPr>
          <w:rFonts w:ascii="Times New Roman" w:hAnsi="Times New Roman" w:eastAsia="Times New Roman" w:cs="Times New Roman"/>
          <w:spacing w:val="-6"/>
          <w:sz w:val="22"/>
          <w:szCs w:val="22"/>
        </w:rPr>
        <w:t xml:space="preserve">K </w:t>
      </w:r>
      <w:r>
        <w:rPr>
          <w:spacing w:val="-6"/>
          <w:sz w:val="22"/>
          <w:szCs w:val="22"/>
        </w:rPr>
        <w:t>线在突破平台前半</w:t>
      </w:r>
      <w:r>
        <w:rPr>
          <w:spacing w:val="-7"/>
          <w:sz w:val="22"/>
          <w:szCs w:val="22"/>
        </w:rPr>
        <w:t>年至一年的</w:t>
      </w:r>
      <w:r>
        <w:rPr>
          <w:sz w:val="22"/>
          <w:szCs w:val="22"/>
        </w:rPr>
        <w:t xml:space="preserve"> </w:t>
      </w:r>
      <w:r>
        <w:rPr>
          <w:spacing w:val="-20"/>
          <w:sz w:val="22"/>
          <w:szCs w:val="22"/>
        </w:rPr>
        <w:t>时间内所呈现的</w:t>
      </w:r>
      <w:r>
        <w:rPr>
          <w:rFonts w:ascii="Times New Roman" w:hAnsi="Times New Roman" w:eastAsia="Times New Roman" w:cs="Times New Roman"/>
          <w:spacing w:val="-20"/>
          <w:sz w:val="22"/>
          <w:szCs w:val="22"/>
        </w:rPr>
        <w:t>K</w:t>
      </w:r>
      <w:r>
        <w:rPr>
          <w:rFonts w:ascii="Times New Roman" w:hAnsi="Times New Roman" w:eastAsia="Times New Roman" w:cs="Times New Roman"/>
          <w:spacing w:val="35"/>
          <w:sz w:val="22"/>
          <w:szCs w:val="22"/>
        </w:rPr>
        <w:t xml:space="preserve"> </w:t>
      </w:r>
      <w:r>
        <w:rPr>
          <w:spacing w:val="-20"/>
          <w:sz w:val="22"/>
          <w:szCs w:val="22"/>
        </w:rPr>
        <w:t>线图形形态，如通道、三角形、楔形等。这些形态是判断筹码</w:t>
      </w:r>
      <w:r>
        <w:rPr>
          <w:sz w:val="22"/>
          <w:szCs w:val="22"/>
        </w:rPr>
        <w:t xml:space="preserve"> </w:t>
      </w:r>
      <w:r>
        <w:rPr>
          <w:spacing w:val="-7"/>
          <w:sz w:val="22"/>
          <w:szCs w:val="22"/>
        </w:rPr>
        <w:t>稳定度与近期走势可能发生何种方向选择的重要信号。这些形态可以帮</w:t>
      </w:r>
      <w:r>
        <w:rPr>
          <w:spacing w:val="-8"/>
          <w:sz w:val="22"/>
          <w:szCs w:val="22"/>
        </w:rPr>
        <w:t>助我</w:t>
      </w:r>
      <w:r>
        <w:rPr>
          <w:sz w:val="22"/>
          <w:szCs w:val="22"/>
        </w:rPr>
        <w:t xml:space="preserve"> </w:t>
      </w:r>
      <w:r>
        <w:rPr>
          <w:spacing w:val="-7"/>
          <w:sz w:val="22"/>
          <w:szCs w:val="22"/>
        </w:rPr>
        <w:t>们提高对趋势股短期趋势选择的判断能力。趋势牛股在突破平台前的图形形</w:t>
      </w:r>
      <w:r>
        <w:rPr>
          <w:sz w:val="22"/>
          <w:szCs w:val="22"/>
        </w:rPr>
        <w:t xml:space="preserve"> </w:t>
      </w:r>
      <w:r>
        <w:rPr>
          <w:spacing w:val="-16"/>
          <w:sz w:val="22"/>
          <w:szCs w:val="22"/>
        </w:rPr>
        <w:t>态往往有不少共同的特征，为趋势牛股的判断增加了很大的辨识度。</w:t>
      </w:r>
    </w:p>
    <w:p w14:paraId="5D48A129">
      <w:pPr>
        <w:spacing w:before="9" w:line="223" w:lineRule="auto"/>
        <w:ind w:left="430"/>
        <w:rPr>
          <w:rFonts w:ascii="KaiTi" w:hAnsi="KaiTi" w:eastAsia="KaiTi" w:cs="KaiTi"/>
          <w:sz w:val="22"/>
          <w:szCs w:val="22"/>
        </w:rPr>
      </w:pPr>
      <w:r>
        <w:rPr>
          <w:rFonts w:ascii="KaiTi" w:hAnsi="KaiTi" w:eastAsia="KaiTi" w:cs="KaiTi"/>
          <w:spacing w:val="-3"/>
          <w:sz w:val="22"/>
          <w:szCs w:val="22"/>
        </w:rPr>
        <w:t>(三)量价关系</w:t>
      </w:r>
    </w:p>
    <w:p w14:paraId="7EBB0C25">
      <w:pPr>
        <w:pStyle w:val="7"/>
        <w:spacing w:before="97" w:line="312" w:lineRule="auto"/>
        <w:ind w:right="78" w:firstLine="430"/>
        <w:jc w:val="both"/>
        <w:rPr>
          <w:sz w:val="22"/>
          <w:szCs w:val="22"/>
        </w:rPr>
      </w:pPr>
      <w:r>
        <w:rPr>
          <w:spacing w:val="-14"/>
          <w:sz w:val="22"/>
          <w:szCs w:val="22"/>
        </w:rPr>
        <w:t>量是筹码供需关系的直接体现，也是趋势健康度最重要的指标之</w:t>
      </w:r>
      <w:r>
        <w:rPr>
          <w:spacing w:val="-15"/>
          <w:sz w:val="22"/>
          <w:szCs w:val="22"/>
        </w:rPr>
        <w:t>一。图形</w:t>
      </w:r>
      <w:r>
        <w:rPr>
          <w:sz w:val="22"/>
          <w:szCs w:val="22"/>
        </w:rPr>
        <w:t xml:space="preserve"> </w:t>
      </w:r>
      <w:r>
        <w:rPr>
          <w:spacing w:val="-13"/>
          <w:sz w:val="22"/>
          <w:szCs w:val="22"/>
        </w:rPr>
        <w:t>形态与成交量的结合，能更好地体现出这种关系。最重要的</w:t>
      </w:r>
      <w:r>
        <w:rPr>
          <w:spacing w:val="-14"/>
          <w:sz w:val="22"/>
          <w:szCs w:val="22"/>
        </w:rPr>
        <w:t>成交量关系就是在</w:t>
      </w:r>
      <w:r>
        <w:rPr>
          <w:sz w:val="22"/>
          <w:szCs w:val="22"/>
        </w:rPr>
        <w:t xml:space="preserve"> </w:t>
      </w:r>
      <w:r>
        <w:rPr>
          <w:spacing w:val="-7"/>
          <w:sz w:val="22"/>
          <w:szCs w:val="22"/>
        </w:rPr>
        <w:t>股价整理和底部不断抬高的过程中呈现出的筹码供应在涨时增与跌时减</w:t>
      </w:r>
      <w:r>
        <w:rPr>
          <w:spacing w:val="-8"/>
          <w:sz w:val="22"/>
          <w:szCs w:val="22"/>
        </w:rPr>
        <w:t>的现</w:t>
      </w:r>
      <w:r>
        <w:rPr>
          <w:sz w:val="22"/>
          <w:szCs w:val="22"/>
        </w:rPr>
        <w:t xml:space="preserve"> </w:t>
      </w:r>
      <w:r>
        <w:rPr>
          <w:spacing w:val="-19"/>
          <w:sz w:val="22"/>
          <w:szCs w:val="22"/>
        </w:rPr>
        <w:t>象。这种现象表明了上涨前的卖压可控，洗盘到位，条件成熟。</w:t>
      </w:r>
    </w:p>
    <w:p w14:paraId="70B78A89">
      <w:pPr>
        <w:pStyle w:val="7"/>
        <w:spacing w:before="16" w:line="311" w:lineRule="auto"/>
        <w:ind w:right="73" w:firstLine="430"/>
        <w:jc w:val="both"/>
        <w:rPr>
          <w:sz w:val="22"/>
          <w:szCs w:val="22"/>
        </w:rPr>
      </w:pPr>
      <w:r>
        <w:rPr>
          <w:spacing w:val="-14"/>
          <w:sz w:val="22"/>
          <w:szCs w:val="22"/>
        </w:rPr>
        <w:t>对量的观察，重点在两个方面。一是突破平台前的量，一定要体现健康的</w:t>
      </w:r>
      <w:r>
        <w:rPr>
          <w:spacing w:val="13"/>
          <w:sz w:val="22"/>
          <w:szCs w:val="22"/>
        </w:rPr>
        <w:t xml:space="preserve"> </w:t>
      </w:r>
      <w:r>
        <w:rPr>
          <w:spacing w:val="-13"/>
          <w:sz w:val="22"/>
          <w:szCs w:val="22"/>
        </w:rPr>
        <w:t>整理关系。在底部不断抬高的过程中，上涨时有量，下</w:t>
      </w:r>
      <w:r>
        <w:rPr>
          <w:spacing w:val="-14"/>
          <w:sz w:val="22"/>
          <w:szCs w:val="22"/>
        </w:rPr>
        <w:t>跌时要缩量。二是最重</w:t>
      </w:r>
      <w:r>
        <w:rPr>
          <w:sz w:val="22"/>
          <w:szCs w:val="22"/>
        </w:rPr>
        <w:t xml:space="preserve"> </w:t>
      </w:r>
      <w:r>
        <w:rPr>
          <w:spacing w:val="-13"/>
          <w:sz w:val="22"/>
          <w:szCs w:val="22"/>
        </w:rPr>
        <w:t>要的一点，即在突破平台时一定要有明显持续的放量上攻</w:t>
      </w:r>
      <w:r>
        <w:rPr>
          <w:spacing w:val="-14"/>
          <w:sz w:val="22"/>
          <w:szCs w:val="22"/>
        </w:rPr>
        <w:t>。这个放量是与之前</w:t>
      </w:r>
      <w:r>
        <w:rPr>
          <w:sz w:val="22"/>
          <w:szCs w:val="22"/>
        </w:rPr>
        <w:t xml:space="preserve"> </w:t>
      </w:r>
      <w:r>
        <w:rPr>
          <w:spacing w:val="-13"/>
          <w:sz w:val="22"/>
          <w:szCs w:val="22"/>
        </w:rPr>
        <w:t>的量相比较。上涨突破必须持续放量，这是确认平台</w:t>
      </w:r>
      <w:r>
        <w:rPr>
          <w:spacing w:val="-14"/>
          <w:sz w:val="22"/>
          <w:szCs w:val="22"/>
        </w:rPr>
        <w:t>突破的重要指标。这个放</w:t>
      </w:r>
      <w:r>
        <w:rPr>
          <w:sz w:val="22"/>
          <w:szCs w:val="22"/>
        </w:rPr>
        <w:t xml:space="preserve"> </w:t>
      </w:r>
      <w:r>
        <w:rPr>
          <w:spacing w:val="-13"/>
          <w:sz w:val="22"/>
          <w:szCs w:val="22"/>
        </w:rPr>
        <w:t>量在日线上会明显体现出来，体现在突破平台后几个</w:t>
      </w:r>
      <w:r>
        <w:rPr>
          <w:spacing w:val="-14"/>
          <w:sz w:val="22"/>
          <w:szCs w:val="22"/>
        </w:rPr>
        <w:t>交易日。而从周线上看应</w:t>
      </w:r>
      <w:r>
        <w:rPr>
          <w:sz w:val="22"/>
          <w:szCs w:val="22"/>
        </w:rPr>
        <w:t xml:space="preserve"> </w:t>
      </w:r>
      <w:r>
        <w:rPr>
          <w:spacing w:val="-13"/>
          <w:sz w:val="22"/>
          <w:szCs w:val="22"/>
        </w:rPr>
        <w:t>该也明显，但有的个股可能已经在上涨前完成重仓位建仓</w:t>
      </w:r>
      <w:r>
        <w:rPr>
          <w:spacing w:val="-14"/>
          <w:sz w:val="22"/>
          <w:szCs w:val="22"/>
        </w:rPr>
        <w:t>，在突破时的周量能</w:t>
      </w:r>
      <w:r>
        <w:rPr>
          <w:sz w:val="22"/>
          <w:szCs w:val="22"/>
        </w:rPr>
        <w:t xml:space="preserve"> </w:t>
      </w:r>
      <w:r>
        <w:rPr>
          <w:spacing w:val="-17"/>
          <w:sz w:val="22"/>
          <w:szCs w:val="22"/>
        </w:rPr>
        <w:t>可能不一定非常明显，但在日线上看一定是非常明显的。</w:t>
      </w:r>
    </w:p>
    <w:p w14:paraId="4D5E2FEE">
      <w:pPr>
        <w:spacing w:before="24" w:line="227" w:lineRule="auto"/>
        <w:ind w:left="430"/>
        <w:rPr>
          <w:rFonts w:ascii="KaiTi" w:hAnsi="KaiTi" w:eastAsia="KaiTi" w:cs="KaiTi"/>
          <w:sz w:val="22"/>
          <w:szCs w:val="22"/>
        </w:rPr>
      </w:pPr>
      <w:r>
        <w:rPr>
          <w:rFonts w:ascii="KaiTi" w:hAnsi="KaiTi" w:eastAsia="KaiTi" w:cs="KaiTi"/>
          <w:spacing w:val="-3"/>
          <w:sz w:val="22"/>
          <w:szCs w:val="22"/>
        </w:rPr>
        <w:t>(四)盘子大小</w:t>
      </w:r>
    </w:p>
    <w:p w14:paraId="3308589E">
      <w:pPr>
        <w:pStyle w:val="7"/>
        <w:spacing w:before="120" w:line="312" w:lineRule="auto"/>
        <w:ind w:firstLine="430"/>
        <w:jc w:val="both"/>
        <w:rPr>
          <w:sz w:val="22"/>
          <w:szCs w:val="22"/>
        </w:rPr>
      </w:pPr>
      <w:r>
        <w:rPr>
          <w:spacing w:val="-14"/>
          <w:sz w:val="22"/>
          <w:szCs w:val="22"/>
        </w:rPr>
        <w:t>盘子大小决定了市值管理空间的大小。趋势大牛股通常都是小中盘股，尤</w:t>
      </w:r>
      <w:r>
        <w:rPr>
          <w:spacing w:val="5"/>
          <w:sz w:val="22"/>
          <w:szCs w:val="22"/>
        </w:rPr>
        <w:t xml:space="preserve"> </w:t>
      </w:r>
      <w:r>
        <w:rPr>
          <w:spacing w:val="-13"/>
          <w:sz w:val="22"/>
          <w:szCs w:val="22"/>
        </w:rPr>
        <w:t>其是小盘成长型股票。大牛股多数是小盘股成长起</w:t>
      </w:r>
      <w:r>
        <w:rPr>
          <w:spacing w:val="-14"/>
          <w:sz w:val="22"/>
          <w:szCs w:val="22"/>
        </w:rPr>
        <w:t>来的，小才具有大空间。所</w:t>
      </w:r>
      <w:r>
        <w:rPr>
          <w:sz w:val="22"/>
          <w:szCs w:val="22"/>
        </w:rPr>
        <w:t xml:space="preserve"> </w:t>
      </w:r>
      <w:r>
        <w:rPr>
          <w:spacing w:val="-11"/>
          <w:sz w:val="22"/>
          <w:szCs w:val="22"/>
        </w:rPr>
        <w:t>以，趋势牛股选择的标的多是小盘股，低价小盘股也正是我们要研究的重点。</w:t>
      </w:r>
      <w:r>
        <w:rPr>
          <w:spacing w:val="2"/>
          <w:sz w:val="22"/>
          <w:szCs w:val="22"/>
        </w:rPr>
        <w:t xml:space="preserve"> </w:t>
      </w:r>
      <w:r>
        <w:rPr>
          <w:spacing w:val="-19"/>
          <w:sz w:val="22"/>
          <w:szCs w:val="22"/>
        </w:rPr>
        <w:t>一只股票如果价格很低，但是盘子不小，这个低价就没有意义，</w:t>
      </w:r>
      <w:r>
        <w:rPr>
          <w:spacing w:val="-20"/>
          <w:sz w:val="22"/>
          <w:szCs w:val="22"/>
        </w:rPr>
        <w:t>价格必须与盘子</w:t>
      </w:r>
      <w:r>
        <w:rPr>
          <w:sz w:val="22"/>
          <w:szCs w:val="22"/>
        </w:rPr>
        <w:t xml:space="preserve"> </w:t>
      </w:r>
      <w:r>
        <w:rPr>
          <w:spacing w:val="-11"/>
          <w:sz w:val="22"/>
          <w:szCs w:val="22"/>
        </w:rPr>
        <w:t>结合。</w:t>
      </w:r>
    </w:p>
    <w:p w14:paraId="54B7AE76">
      <w:pPr>
        <w:pStyle w:val="7"/>
        <w:spacing w:before="3" w:line="303" w:lineRule="auto"/>
        <w:ind w:right="79" w:firstLine="430"/>
        <w:jc w:val="both"/>
        <w:rPr>
          <w:sz w:val="22"/>
          <w:szCs w:val="22"/>
        </w:rPr>
      </w:pPr>
      <w:r>
        <w:rPr>
          <w:spacing w:val="-7"/>
          <w:sz w:val="22"/>
          <w:szCs w:val="22"/>
        </w:rPr>
        <w:t>小盘的总市值因时期不同而有较大差异，倾向于突破平台时市值在50亿</w:t>
      </w:r>
      <w:r>
        <w:rPr>
          <w:spacing w:val="3"/>
          <w:sz w:val="22"/>
          <w:szCs w:val="22"/>
        </w:rPr>
        <w:t xml:space="preserve"> </w:t>
      </w:r>
      <w:r>
        <w:rPr>
          <w:spacing w:val="-20"/>
          <w:sz w:val="22"/>
          <w:szCs w:val="22"/>
        </w:rPr>
        <w:t>元以下。同样也有例外，如果图形非常好，股价又放量突破平台，上面的上涨空</w:t>
      </w:r>
      <w:r>
        <w:rPr>
          <w:spacing w:val="9"/>
          <w:sz w:val="22"/>
          <w:szCs w:val="22"/>
        </w:rPr>
        <w:t xml:space="preserve"> </w:t>
      </w:r>
      <w:r>
        <w:rPr>
          <w:spacing w:val="-15"/>
          <w:sz w:val="22"/>
          <w:szCs w:val="22"/>
        </w:rPr>
        <w:t>间被打开。市值的条件就可以放宽，但是市值大的股票上涨空</w:t>
      </w:r>
      <w:r>
        <w:rPr>
          <w:spacing w:val="-16"/>
          <w:sz w:val="22"/>
          <w:szCs w:val="22"/>
        </w:rPr>
        <w:t>间一定有限。</w:t>
      </w:r>
    </w:p>
    <w:p w14:paraId="47EBFE61">
      <w:pPr>
        <w:spacing w:before="24" w:line="227" w:lineRule="auto"/>
        <w:ind w:left="430"/>
        <w:rPr>
          <w:rFonts w:ascii="KaiTi" w:hAnsi="KaiTi" w:eastAsia="KaiTi" w:cs="KaiTi"/>
          <w:sz w:val="22"/>
          <w:szCs w:val="22"/>
        </w:rPr>
      </w:pPr>
      <w:r>
        <w:rPr>
          <w:rFonts w:ascii="KaiTi" w:hAnsi="KaiTi" w:eastAsia="KaiTi" w:cs="KaiTi"/>
          <w:spacing w:val="-2"/>
          <w:sz w:val="22"/>
          <w:szCs w:val="22"/>
        </w:rPr>
        <w:t>(五)</w:t>
      </w:r>
      <w:r>
        <w:rPr>
          <w:rFonts w:ascii="Times New Roman" w:hAnsi="Times New Roman" w:eastAsia="Times New Roman" w:cs="Times New Roman"/>
          <w:spacing w:val="-2"/>
          <w:sz w:val="22"/>
          <w:szCs w:val="22"/>
        </w:rPr>
        <w:t xml:space="preserve">RS </w:t>
      </w:r>
      <w:r>
        <w:rPr>
          <w:rFonts w:ascii="KaiTi" w:hAnsi="KaiTi" w:eastAsia="KaiTi" w:cs="KaiTi"/>
          <w:spacing w:val="-2"/>
          <w:sz w:val="22"/>
          <w:szCs w:val="22"/>
        </w:rPr>
        <w:t>市场强度指标</w:t>
      </w:r>
    </w:p>
    <w:p w14:paraId="5466F7FD">
      <w:pPr>
        <w:pStyle w:val="7"/>
        <w:spacing w:before="111" w:line="321" w:lineRule="auto"/>
        <w:ind w:right="80" w:firstLine="430"/>
        <w:rPr>
          <w:sz w:val="22"/>
          <w:szCs w:val="22"/>
        </w:rPr>
      </w:pPr>
      <w:r>
        <w:rPr>
          <w:spacing w:val="-14"/>
          <w:sz w:val="22"/>
          <w:szCs w:val="22"/>
        </w:rPr>
        <w:t>市场强度是指个股与指数的对比强度。趋势牛股是市场的领涨股，是领涨</w:t>
      </w:r>
      <w:r>
        <w:rPr>
          <w:spacing w:val="5"/>
          <w:sz w:val="22"/>
          <w:szCs w:val="22"/>
        </w:rPr>
        <w:t xml:space="preserve"> </w:t>
      </w:r>
      <w:r>
        <w:rPr>
          <w:spacing w:val="-19"/>
          <w:sz w:val="22"/>
          <w:szCs w:val="22"/>
        </w:rPr>
        <w:t>股影响了市场，领先于指数，而不是指数影响了个股。所以，趋</w:t>
      </w:r>
      <w:r>
        <w:rPr>
          <w:spacing w:val="-20"/>
          <w:sz w:val="22"/>
          <w:szCs w:val="22"/>
        </w:rPr>
        <w:t>势牛股在突破平</w:t>
      </w:r>
    </w:p>
    <w:p w14:paraId="420C9DB4">
      <w:pPr>
        <w:spacing w:line="321" w:lineRule="auto"/>
        <w:rPr>
          <w:sz w:val="22"/>
          <w:szCs w:val="22"/>
        </w:rPr>
        <w:sectPr>
          <w:pgSz w:w="8740" w:h="13340"/>
          <w:pgMar w:top="400" w:right="1059" w:bottom="789" w:left="570" w:header="0" w:footer="530" w:gutter="0"/>
          <w:cols w:space="720" w:num="1"/>
        </w:sectPr>
      </w:pPr>
    </w:p>
    <w:p w14:paraId="74A3BC92">
      <w:pPr>
        <w:spacing w:line="429" w:lineRule="auto"/>
        <w:rPr>
          <w:rFonts w:ascii="Arial"/>
          <w:sz w:val="21"/>
        </w:rPr>
      </w:pPr>
    </w:p>
    <w:p w14:paraId="11CB4D3D">
      <w:pPr>
        <w:pStyle w:val="7"/>
        <w:spacing w:before="72" w:line="304" w:lineRule="auto"/>
        <w:ind w:right="93"/>
        <w:jc w:val="both"/>
        <w:rPr>
          <w:sz w:val="22"/>
          <w:szCs w:val="22"/>
        </w:rPr>
      </w:pPr>
      <w:r>
        <w:rPr>
          <w:spacing w:val="-9"/>
          <w:sz w:val="22"/>
          <w:szCs w:val="22"/>
        </w:rPr>
        <w:t>台时，在</w:t>
      </w:r>
      <w:r>
        <w:rPr>
          <w:rFonts w:ascii="Times New Roman" w:hAnsi="Times New Roman" w:eastAsia="Times New Roman" w:cs="Times New Roman"/>
          <w:spacing w:val="-9"/>
          <w:sz w:val="22"/>
          <w:szCs w:val="22"/>
        </w:rPr>
        <w:t xml:space="preserve">RS </w:t>
      </w:r>
      <w:r>
        <w:rPr>
          <w:spacing w:val="-9"/>
          <w:sz w:val="22"/>
          <w:szCs w:val="22"/>
        </w:rPr>
        <w:t>强度上一定已经持续强于指数。启动前的趋势牛股呈现的是完成</w:t>
      </w:r>
      <w:r>
        <w:rPr>
          <w:sz w:val="22"/>
          <w:szCs w:val="22"/>
        </w:rPr>
        <w:t xml:space="preserve"> </w:t>
      </w:r>
      <w:r>
        <w:rPr>
          <w:spacing w:val="-13"/>
          <w:sz w:val="22"/>
          <w:szCs w:val="22"/>
        </w:rPr>
        <w:t>了强势技术修复与整理状态，在突破平台前实际已经启动上涨。所以，其内部</w:t>
      </w:r>
      <w:r>
        <w:rPr>
          <w:spacing w:val="12"/>
          <w:sz w:val="22"/>
          <w:szCs w:val="22"/>
        </w:rPr>
        <w:t xml:space="preserve"> </w:t>
      </w:r>
      <w:r>
        <w:rPr>
          <w:spacing w:val="-13"/>
          <w:sz w:val="22"/>
          <w:szCs w:val="22"/>
        </w:rPr>
        <w:t>筹码与上涨强度一定是强于指数的，我们用于判断个股与指数对比相对强度的</w:t>
      </w:r>
      <w:r>
        <w:rPr>
          <w:spacing w:val="17"/>
          <w:sz w:val="22"/>
          <w:szCs w:val="22"/>
        </w:rPr>
        <w:t xml:space="preserve"> </w:t>
      </w:r>
      <w:r>
        <w:rPr>
          <w:spacing w:val="-3"/>
          <w:sz w:val="22"/>
          <w:szCs w:val="22"/>
        </w:rPr>
        <w:t>指标是</w:t>
      </w:r>
      <w:r>
        <w:rPr>
          <w:rFonts w:ascii="Times New Roman" w:hAnsi="Times New Roman" w:eastAsia="Times New Roman" w:cs="Times New Roman"/>
          <w:spacing w:val="-3"/>
          <w:sz w:val="22"/>
          <w:szCs w:val="22"/>
        </w:rPr>
        <w:t>RS</w:t>
      </w:r>
      <w:r>
        <w:rPr>
          <w:spacing w:val="-3"/>
          <w:sz w:val="22"/>
          <w:szCs w:val="22"/>
        </w:rPr>
        <w:t>。</w:t>
      </w:r>
    </w:p>
    <w:p w14:paraId="63DA3D0A">
      <w:pPr>
        <w:spacing w:before="36" w:line="229" w:lineRule="auto"/>
        <w:ind w:left="429"/>
        <w:rPr>
          <w:rFonts w:ascii="KaiTi" w:hAnsi="KaiTi" w:eastAsia="KaiTi" w:cs="KaiTi"/>
          <w:sz w:val="22"/>
          <w:szCs w:val="22"/>
        </w:rPr>
      </w:pPr>
      <w:r>
        <w:rPr>
          <w:rFonts w:ascii="KaiTi" w:hAnsi="KaiTi" w:eastAsia="KaiTi" w:cs="KaiTi"/>
          <w:spacing w:val="-5"/>
          <w:sz w:val="22"/>
          <w:szCs w:val="22"/>
        </w:rPr>
        <w:t>(六</w:t>
      </w:r>
      <w:r>
        <w:rPr>
          <w:rFonts w:ascii="KaiTi" w:hAnsi="KaiTi" w:eastAsia="KaiTi" w:cs="KaiTi"/>
          <w:spacing w:val="-53"/>
          <w:sz w:val="22"/>
          <w:szCs w:val="22"/>
        </w:rPr>
        <w:t xml:space="preserve"> </w:t>
      </w:r>
      <w:r>
        <w:rPr>
          <w:rFonts w:ascii="KaiTi" w:hAnsi="KaiTi" w:eastAsia="KaiTi" w:cs="KaiTi"/>
          <w:spacing w:val="-5"/>
          <w:sz w:val="22"/>
          <w:szCs w:val="22"/>
        </w:rPr>
        <w:t>)</w:t>
      </w:r>
      <w:r>
        <w:rPr>
          <w:rFonts w:ascii="Times New Roman" w:hAnsi="Times New Roman" w:eastAsia="Times New Roman" w:cs="Times New Roman"/>
          <w:spacing w:val="-5"/>
          <w:sz w:val="22"/>
          <w:szCs w:val="22"/>
        </w:rPr>
        <w:t xml:space="preserve">RSI </w:t>
      </w:r>
      <w:r>
        <w:rPr>
          <w:rFonts w:ascii="KaiTi" w:hAnsi="KaiTi" w:eastAsia="KaiTi" w:cs="KaiTi"/>
          <w:spacing w:val="-5"/>
          <w:sz w:val="22"/>
          <w:szCs w:val="22"/>
        </w:rPr>
        <w:t>相对强弱指标</w:t>
      </w:r>
    </w:p>
    <w:p w14:paraId="02E7D6C2">
      <w:pPr>
        <w:pStyle w:val="7"/>
        <w:spacing w:before="106" w:line="311" w:lineRule="auto"/>
        <w:ind w:right="75" w:firstLine="429"/>
        <w:jc w:val="both"/>
        <w:rPr>
          <w:sz w:val="22"/>
          <w:szCs w:val="22"/>
        </w:rPr>
      </w:pPr>
      <w:r>
        <w:rPr>
          <w:rFonts w:ascii="Times New Roman" w:hAnsi="Times New Roman" w:eastAsia="Times New Roman" w:cs="Times New Roman"/>
          <w:spacing w:val="-5"/>
          <w:sz w:val="22"/>
          <w:szCs w:val="22"/>
        </w:rPr>
        <w:t xml:space="preserve">RSI </w:t>
      </w:r>
      <w:r>
        <w:rPr>
          <w:spacing w:val="-5"/>
          <w:sz w:val="22"/>
          <w:szCs w:val="22"/>
        </w:rPr>
        <w:t>和</w:t>
      </w:r>
      <w:r>
        <w:rPr>
          <w:rFonts w:ascii="Times New Roman" w:hAnsi="Times New Roman" w:eastAsia="Times New Roman" w:cs="Times New Roman"/>
          <w:spacing w:val="-5"/>
          <w:sz w:val="22"/>
          <w:szCs w:val="22"/>
        </w:rPr>
        <w:t xml:space="preserve">RS </w:t>
      </w:r>
      <w:r>
        <w:rPr>
          <w:spacing w:val="-5"/>
          <w:sz w:val="22"/>
          <w:szCs w:val="22"/>
        </w:rPr>
        <w:t>是两个完全不同性质和功能的指标。</w:t>
      </w:r>
      <w:r>
        <w:rPr>
          <w:rFonts w:ascii="Times New Roman" w:hAnsi="Times New Roman" w:eastAsia="Times New Roman" w:cs="Times New Roman"/>
          <w:spacing w:val="-5"/>
          <w:sz w:val="22"/>
          <w:szCs w:val="22"/>
        </w:rPr>
        <w:t>RS</w:t>
      </w:r>
      <w:r>
        <w:rPr>
          <w:rFonts w:ascii="Times New Roman" w:hAnsi="Times New Roman" w:eastAsia="Times New Roman" w:cs="Times New Roman"/>
          <w:spacing w:val="-6"/>
          <w:sz w:val="22"/>
          <w:szCs w:val="22"/>
        </w:rPr>
        <w:t xml:space="preserve">I </w:t>
      </w:r>
      <w:r>
        <w:rPr>
          <w:spacing w:val="-6"/>
          <w:sz w:val="22"/>
          <w:szCs w:val="22"/>
        </w:rPr>
        <w:t>指标属于动量摆动指</w:t>
      </w:r>
      <w:r>
        <w:rPr>
          <w:sz w:val="22"/>
          <w:szCs w:val="22"/>
        </w:rPr>
        <w:t xml:space="preserve"> </w:t>
      </w:r>
      <w:r>
        <w:rPr>
          <w:spacing w:val="-11"/>
          <w:sz w:val="22"/>
          <w:szCs w:val="22"/>
        </w:rPr>
        <w:t>标，使用</w:t>
      </w:r>
      <w:r>
        <w:rPr>
          <w:rFonts w:ascii="Times New Roman" w:hAnsi="Times New Roman" w:eastAsia="Times New Roman" w:cs="Times New Roman"/>
          <w:spacing w:val="-11"/>
          <w:sz w:val="22"/>
          <w:szCs w:val="22"/>
        </w:rPr>
        <w:t xml:space="preserve">RSI </w:t>
      </w:r>
      <w:r>
        <w:rPr>
          <w:spacing w:val="-11"/>
          <w:sz w:val="22"/>
          <w:szCs w:val="22"/>
        </w:rPr>
        <w:t>可以观察短期内个股多空筹码博弈的超跌与超涨强度，是非常有</w:t>
      </w:r>
      <w:r>
        <w:rPr>
          <w:spacing w:val="8"/>
          <w:sz w:val="22"/>
          <w:szCs w:val="22"/>
        </w:rPr>
        <w:t xml:space="preserve"> </w:t>
      </w:r>
      <w:r>
        <w:rPr>
          <w:spacing w:val="-10"/>
          <w:sz w:val="22"/>
          <w:szCs w:val="22"/>
        </w:rPr>
        <w:t>用的指标。同属于动量摆动指标，</w:t>
      </w:r>
      <w:r>
        <w:rPr>
          <w:rFonts w:ascii="Times New Roman" w:hAnsi="Times New Roman" w:eastAsia="Times New Roman" w:cs="Times New Roman"/>
          <w:spacing w:val="-10"/>
          <w:sz w:val="22"/>
          <w:szCs w:val="22"/>
        </w:rPr>
        <w:t>RSI</w:t>
      </w:r>
      <w:r>
        <w:rPr>
          <w:rFonts w:ascii="Times New Roman" w:hAnsi="Times New Roman" w:eastAsia="Times New Roman" w:cs="Times New Roman"/>
          <w:spacing w:val="22"/>
          <w:w w:val="101"/>
          <w:sz w:val="22"/>
          <w:szCs w:val="22"/>
        </w:rPr>
        <w:t xml:space="preserve"> </w:t>
      </w:r>
      <w:r>
        <w:rPr>
          <w:spacing w:val="-10"/>
          <w:sz w:val="22"/>
          <w:szCs w:val="22"/>
        </w:rPr>
        <w:t>指标与</w:t>
      </w:r>
      <w:r>
        <w:rPr>
          <w:rFonts w:ascii="Times New Roman" w:hAnsi="Times New Roman" w:eastAsia="Times New Roman" w:cs="Times New Roman"/>
          <w:spacing w:val="-10"/>
          <w:sz w:val="22"/>
          <w:szCs w:val="22"/>
        </w:rPr>
        <w:t xml:space="preserve">MACD </w:t>
      </w:r>
      <w:r>
        <w:rPr>
          <w:spacing w:val="-10"/>
          <w:sz w:val="22"/>
          <w:szCs w:val="22"/>
        </w:rPr>
        <w:t>指标的不同点在于，</w:t>
      </w:r>
      <w:r>
        <w:rPr>
          <w:rFonts w:ascii="Times New Roman" w:hAnsi="Times New Roman" w:eastAsia="Times New Roman" w:cs="Times New Roman"/>
          <w:spacing w:val="-10"/>
          <w:sz w:val="22"/>
          <w:szCs w:val="22"/>
        </w:rPr>
        <w:t>RSI</w:t>
      </w:r>
      <w:r>
        <w:rPr>
          <w:rFonts w:ascii="Times New Roman" w:hAnsi="Times New Roman" w:eastAsia="Times New Roman" w:cs="Times New Roman"/>
          <w:sz w:val="22"/>
          <w:szCs w:val="22"/>
        </w:rPr>
        <w:t xml:space="preserve">  </w:t>
      </w:r>
      <w:r>
        <w:rPr>
          <w:spacing w:val="-8"/>
          <w:sz w:val="22"/>
          <w:szCs w:val="22"/>
        </w:rPr>
        <w:t>指标对趋势具有提前反映功能，而</w:t>
      </w:r>
      <w:r>
        <w:rPr>
          <w:rFonts w:ascii="Times New Roman" w:hAnsi="Times New Roman" w:eastAsia="Times New Roman" w:cs="Times New Roman"/>
          <w:spacing w:val="-8"/>
          <w:sz w:val="22"/>
          <w:szCs w:val="22"/>
        </w:rPr>
        <w:t>MACD</w:t>
      </w:r>
      <w:r>
        <w:rPr>
          <w:rFonts w:ascii="Times New Roman" w:hAnsi="Times New Roman" w:eastAsia="Times New Roman" w:cs="Times New Roman"/>
          <w:spacing w:val="5"/>
          <w:sz w:val="22"/>
          <w:szCs w:val="22"/>
        </w:rPr>
        <w:t xml:space="preserve"> </w:t>
      </w:r>
      <w:r>
        <w:rPr>
          <w:spacing w:val="-8"/>
          <w:sz w:val="22"/>
          <w:szCs w:val="22"/>
        </w:rPr>
        <w:t>指标的反映则会滞后。不少职业交</w:t>
      </w:r>
      <w:r>
        <w:rPr>
          <w:sz w:val="22"/>
          <w:szCs w:val="22"/>
        </w:rPr>
        <w:t xml:space="preserve"> </w:t>
      </w:r>
      <w:r>
        <w:rPr>
          <w:spacing w:val="-10"/>
          <w:sz w:val="22"/>
          <w:szCs w:val="22"/>
        </w:rPr>
        <w:t>易者更喜欢用</w:t>
      </w:r>
      <w:r>
        <w:rPr>
          <w:rFonts w:ascii="Times New Roman" w:hAnsi="Times New Roman" w:eastAsia="Times New Roman" w:cs="Times New Roman"/>
          <w:spacing w:val="-10"/>
          <w:sz w:val="22"/>
          <w:szCs w:val="22"/>
        </w:rPr>
        <w:t xml:space="preserve">RSI </w:t>
      </w:r>
      <w:r>
        <w:rPr>
          <w:spacing w:val="-10"/>
          <w:sz w:val="22"/>
          <w:szCs w:val="22"/>
        </w:rPr>
        <w:t>指标观察市场。</w:t>
      </w:r>
      <w:r>
        <w:rPr>
          <w:rFonts w:ascii="Times New Roman" w:hAnsi="Times New Roman" w:eastAsia="Times New Roman" w:cs="Times New Roman"/>
          <w:spacing w:val="-10"/>
          <w:sz w:val="22"/>
          <w:szCs w:val="22"/>
        </w:rPr>
        <w:t>RSI</w:t>
      </w:r>
      <w:r>
        <w:rPr>
          <w:rFonts w:ascii="Times New Roman" w:hAnsi="Times New Roman" w:eastAsia="Times New Roman" w:cs="Times New Roman"/>
          <w:spacing w:val="30"/>
          <w:sz w:val="22"/>
          <w:szCs w:val="22"/>
        </w:rPr>
        <w:t xml:space="preserve"> </w:t>
      </w:r>
      <w:r>
        <w:rPr>
          <w:spacing w:val="-10"/>
          <w:sz w:val="22"/>
          <w:szCs w:val="22"/>
        </w:rPr>
        <w:t>指标运用熟练，对于判断个股短期趋势</w:t>
      </w:r>
      <w:r>
        <w:rPr>
          <w:sz w:val="22"/>
          <w:szCs w:val="22"/>
        </w:rPr>
        <w:t xml:space="preserve"> </w:t>
      </w:r>
      <w:r>
        <w:rPr>
          <w:spacing w:val="-5"/>
          <w:sz w:val="22"/>
          <w:szCs w:val="22"/>
        </w:rPr>
        <w:t>的准确率相对高。</w:t>
      </w:r>
      <w:r>
        <w:rPr>
          <w:rFonts w:ascii="Times New Roman" w:hAnsi="Times New Roman" w:eastAsia="Times New Roman" w:cs="Times New Roman"/>
          <w:spacing w:val="-5"/>
          <w:sz w:val="22"/>
          <w:szCs w:val="22"/>
        </w:rPr>
        <w:t xml:space="preserve">RSI </w:t>
      </w:r>
      <w:r>
        <w:rPr>
          <w:spacing w:val="-5"/>
          <w:sz w:val="22"/>
          <w:szCs w:val="22"/>
        </w:rPr>
        <w:t>指标是判断趋势牛股股价突破平台前最重要的观察指</w:t>
      </w:r>
      <w:r>
        <w:rPr>
          <w:spacing w:val="11"/>
          <w:sz w:val="22"/>
          <w:szCs w:val="22"/>
        </w:rPr>
        <w:t xml:space="preserve"> </w:t>
      </w:r>
      <w:r>
        <w:rPr>
          <w:spacing w:val="-3"/>
          <w:sz w:val="22"/>
          <w:szCs w:val="22"/>
        </w:rPr>
        <w:t>标之一。</w:t>
      </w:r>
    </w:p>
    <w:p w14:paraId="046A1B1F">
      <w:pPr>
        <w:pStyle w:val="7"/>
        <w:spacing w:before="12" w:line="313" w:lineRule="auto"/>
        <w:ind w:right="72" w:firstLine="429"/>
        <w:rPr>
          <w:sz w:val="22"/>
          <w:szCs w:val="22"/>
        </w:rPr>
      </w:pPr>
      <w:r>
        <w:rPr>
          <w:spacing w:val="-12"/>
          <w:sz w:val="22"/>
          <w:szCs w:val="22"/>
        </w:rPr>
        <w:t>一只个股如果要突破平台，在短期内(14天)的内部筹码整理一定是趋于相</w:t>
      </w:r>
      <w:r>
        <w:rPr>
          <w:spacing w:val="13"/>
          <w:sz w:val="22"/>
          <w:szCs w:val="22"/>
        </w:rPr>
        <w:t xml:space="preserve"> </w:t>
      </w:r>
      <w:r>
        <w:rPr>
          <w:spacing w:val="-12"/>
          <w:sz w:val="22"/>
          <w:szCs w:val="22"/>
        </w:rPr>
        <w:t>对强度区域，观察这个强度区域的指标就是</w:t>
      </w:r>
      <w:r>
        <w:rPr>
          <w:rFonts w:ascii="Times New Roman" w:hAnsi="Times New Roman" w:eastAsia="Times New Roman" w:cs="Times New Roman"/>
          <w:spacing w:val="-12"/>
          <w:sz w:val="22"/>
          <w:szCs w:val="22"/>
        </w:rPr>
        <w:t>RSI</w:t>
      </w:r>
      <w:r>
        <w:rPr>
          <w:spacing w:val="-12"/>
          <w:sz w:val="22"/>
          <w:szCs w:val="22"/>
        </w:rPr>
        <w:t>。突破平台</w:t>
      </w:r>
      <w:r>
        <w:rPr>
          <w:spacing w:val="-13"/>
          <w:sz w:val="22"/>
          <w:szCs w:val="22"/>
        </w:rPr>
        <w:t>的信号如下：</w:t>
      </w:r>
    </w:p>
    <w:p w14:paraId="58D1567E">
      <w:pPr>
        <w:pStyle w:val="7"/>
        <w:spacing w:before="3" w:line="310" w:lineRule="auto"/>
        <w:ind w:right="19" w:firstLine="429"/>
        <w:jc w:val="both"/>
        <w:rPr>
          <w:sz w:val="22"/>
          <w:szCs w:val="22"/>
        </w:rPr>
      </w:pPr>
      <w:r>
        <w:rPr>
          <w:spacing w:val="-11"/>
          <w:sz w:val="22"/>
          <w:szCs w:val="22"/>
        </w:rPr>
        <w:t>在突破平台之前，日线级</w:t>
      </w:r>
      <w:r>
        <w:rPr>
          <w:rFonts w:ascii="Times New Roman" w:hAnsi="Times New Roman" w:eastAsia="Times New Roman" w:cs="Times New Roman"/>
          <w:spacing w:val="-11"/>
          <w:sz w:val="22"/>
          <w:szCs w:val="22"/>
        </w:rPr>
        <w:t xml:space="preserve">RSI </w:t>
      </w:r>
      <w:r>
        <w:rPr>
          <w:spacing w:val="-11"/>
          <w:sz w:val="22"/>
          <w:szCs w:val="22"/>
        </w:rPr>
        <w:t>指标通常会开始冲击70值，这是最重要的信</w:t>
      </w:r>
      <w:r>
        <w:rPr>
          <w:spacing w:val="11"/>
          <w:sz w:val="22"/>
          <w:szCs w:val="22"/>
        </w:rPr>
        <w:t xml:space="preserve"> </w:t>
      </w:r>
      <w:r>
        <w:rPr>
          <w:spacing w:val="-12"/>
          <w:sz w:val="22"/>
          <w:szCs w:val="22"/>
        </w:rPr>
        <w:t>号。在靠近平台位置，如果</w:t>
      </w:r>
      <w:r>
        <w:rPr>
          <w:rFonts w:ascii="Times New Roman" w:hAnsi="Times New Roman" w:eastAsia="Times New Roman" w:cs="Times New Roman"/>
          <w:spacing w:val="-12"/>
          <w:sz w:val="22"/>
          <w:szCs w:val="22"/>
        </w:rPr>
        <w:t>RSI</w:t>
      </w:r>
      <w:r>
        <w:rPr>
          <w:rFonts w:ascii="Times New Roman" w:hAnsi="Times New Roman" w:eastAsia="Times New Roman" w:cs="Times New Roman"/>
          <w:spacing w:val="25"/>
          <w:w w:val="101"/>
          <w:sz w:val="22"/>
          <w:szCs w:val="22"/>
        </w:rPr>
        <w:t xml:space="preserve"> </w:t>
      </w:r>
      <w:r>
        <w:rPr>
          <w:spacing w:val="-12"/>
          <w:sz w:val="22"/>
          <w:szCs w:val="22"/>
        </w:rPr>
        <w:t>向上突破70,成交量能放大，突破就可能产生，</w:t>
      </w:r>
      <w:r>
        <w:rPr>
          <w:sz w:val="22"/>
          <w:szCs w:val="22"/>
        </w:rPr>
        <w:t xml:space="preserve"> </w:t>
      </w:r>
      <w:r>
        <w:rPr>
          <w:spacing w:val="-10"/>
          <w:sz w:val="22"/>
          <w:szCs w:val="22"/>
        </w:rPr>
        <w:t>如果</w:t>
      </w:r>
      <w:r>
        <w:rPr>
          <w:rFonts w:ascii="Times New Roman" w:hAnsi="Times New Roman" w:eastAsia="Times New Roman" w:cs="Times New Roman"/>
          <w:spacing w:val="-10"/>
          <w:sz w:val="22"/>
          <w:szCs w:val="22"/>
        </w:rPr>
        <w:t xml:space="preserve">RSI </w:t>
      </w:r>
      <w:r>
        <w:rPr>
          <w:spacing w:val="-10"/>
          <w:sz w:val="22"/>
          <w:szCs w:val="22"/>
        </w:rPr>
        <w:t>站上70,那个点就是突破点，股价上涨空间将打开。</w:t>
      </w:r>
    </w:p>
    <w:p w14:paraId="3DDDC5AD">
      <w:pPr>
        <w:pStyle w:val="7"/>
        <w:spacing w:before="3" w:line="311" w:lineRule="auto"/>
        <w:ind w:right="19" w:firstLine="429"/>
        <w:jc w:val="both"/>
        <w:rPr>
          <w:sz w:val="22"/>
          <w:szCs w:val="22"/>
        </w:rPr>
      </w:pPr>
      <w:r>
        <w:rPr>
          <w:spacing w:val="-8"/>
          <w:sz w:val="22"/>
          <w:szCs w:val="22"/>
        </w:rPr>
        <w:t>为什么说</w:t>
      </w:r>
      <w:r>
        <w:rPr>
          <w:rFonts w:ascii="Times New Roman" w:hAnsi="Times New Roman" w:eastAsia="Times New Roman" w:cs="Times New Roman"/>
          <w:spacing w:val="-8"/>
          <w:sz w:val="22"/>
          <w:szCs w:val="22"/>
        </w:rPr>
        <w:t>RSI</w:t>
      </w:r>
      <w:r>
        <w:rPr>
          <w:rFonts w:ascii="Times New Roman" w:hAnsi="Times New Roman" w:eastAsia="Times New Roman" w:cs="Times New Roman"/>
          <w:spacing w:val="17"/>
          <w:sz w:val="22"/>
          <w:szCs w:val="22"/>
        </w:rPr>
        <w:t xml:space="preserve"> </w:t>
      </w:r>
      <w:r>
        <w:rPr>
          <w:spacing w:val="-8"/>
          <w:sz w:val="22"/>
          <w:szCs w:val="22"/>
        </w:rPr>
        <w:t>突破70那么重要?在实战中，</w:t>
      </w:r>
      <w:r>
        <w:rPr>
          <w:spacing w:val="-9"/>
          <w:sz w:val="22"/>
          <w:szCs w:val="22"/>
        </w:rPr>
        <w:t>在股价的修复整理阶段，可能</w:t>
      </w:r>
      <w:r>
        <w:rPr>
          <w:sz w:val="22"/>
          <w:szCs w:val="22"/>
        </w:rPr>
        <w:t xml:space="preserve"> </w:t>
      </w:r>
      <w:r>
        <w:rPr>
          <w:spacing w:val="-11"/>
          <w:sz w:val="22"/>
          <w:szCs w:val="22"/>
        </w:rPr>
        <w:t>股价会有几次靠近突破平台的位置，这种突破有真假之分</w:t>
      </w:r>
      <w:r>
        <w:rPr>
          <w:spacing w:val="-12"/>
          <w:sz w:val="22"/>
          <w:szCs w:val="22"/>
        </w:rPr>
        <w:t>。凡是突破时</w:t>
      </w:r>
      <w:r>
        <w:rPr>
          <w:rFonts w:ascii="Times New Roman" w:hAnsi="Times New Roman" w:eastAsia="Times New Roman" w:cs="Times New Roman"/>
          <w:spacing w:val="-12"/>
          <w:sz w:val="22"/>
          <w:szCs w:val="22"/>
        </w:rPr>
        <w:t xml:space="preserve">RSI </w:t>
      </w:r>
      <w:r>
        <w:rPr>
          <w:spacing w:val="-12"/>
          <w:sz w:val="22"/>
          <w:szCs w:val="22"/>
        </w:rPr>
        <w:t>低</w:t>
      </w:r>
      <w:r>
        <w:rPr>
          <w:sz w:val="22"/>
          <w:szCs w:val="22"/>
        </w:rPr>
        <w:t xml:space="preserve">  </w:t>
      </w:r>
      <w:r>
        <w:rPr>
          <w:spacing w:val="-7"/>
          <w:sz w:val="22"/>
          <w:szCs w:val="22"/>
        </w:rPr>
        <w:t>于70,或站上70马上就掉头向下的，大概率属于假突破，股价还要继续整理。</w:t>
      </w:r>
      <w:r>
        <w:rPr>
          <w:spacing w:val="10"/>
          <w:sz w:val="22"/>
          <w:szCs w:val="22"/>
        </w:rPr>
        <w:t xml:space="preserve"> </w:t>
      </w:r>
      <w:r>
        <w:rPr>
          <w:spacing w:val="-6"/>
          <w:sz w:val="22"/>
          <w:szCs w:val="22"/>
        </w:rPr>
        <w:t>只有有效站上周线或日线的70值，并突破平台，上涨空间才会打</w:t>
      </w:r>
      <w:r>
        <w:rPr>
          <w:spacing w:val="-7"/>
          <w:sz w:val="22"/>
          <w:szCs w:val="22"/>
        </w:rPr>
        <w:t>开。这时介</w:t>
      </w:r>
      <w:r>
        <w:rPr>
          <w:sz w:val="22"/>
          <w:szCs w:val="22"/>
        </w:rPr>
        <w:t xml:space="preserve"> </w:t>
      </w:r>
      <w:r>
        <w:rPr>
          <w:spacing w:val="-16"/>
          <w:sz w:val="22"/>
          <w:szCs w:val="22"/>
        </w:rPr>
        <w:t>入，或等待突破后的第一个回调介入都是合适的。</w:t>
      </w:r>
    </w:p>
    <w:p w14:paraId="14ABD995">
      <w:pPr>
        <w:spacing w:before="18" w:line="220" w:lineRule="auto"/>
        <w:ind w:left="429"/>
        <w:rPr>
          <w:rFonts w:ascii="KaiTi" w:hAnsi="KaiTi" w:eastAsia="KaiTi" w:cs="KaiTi"/>
          <w:sz w:val="21"/>
          <w:szCs w:val="21"/>
        </w:rPr>
      </w:pPr>
      <w:r>
        <w:rPr>
          <w:rFonts w:ascii="KaiTi" w:hAnsi="KaiTi" w:eastAsia="KaiTi" w:cs="KaiTi"/>
          <w:spacing w:val="-2"/>
          <w:sz w:val="21"/>
          <w:szCs w:val="21"/>
        </w:rPr>
        <w:t>(七)周线确认，日线操作</w:t>
      </w:r>
    </w:p>
    <w:p w14:paraId="134742FA">
      <w:pPr>
        <w:pStyle w:val="7"/>
        <w:spacing w:before="116" w:line="312" w:lineRule="auto"/>
        <w:ind w:firstLine="429"/>
        <w:jc w:val="both"/>
        <w:rPr>
          <w:sz w:val="22"/>
          <w:szCs w:val="22"/>
        </w:rPr>
      </w:pPr>
      <w:r>
        <w:rPr>
          <w:spacing w:val="-6"/>
          <w:sz w:val="22"/>
          <w:szCs w:val="22"/>
        </w:rPr>
        <w:t>寻找趋势牛股通常以周线为观察周期，在一个大的时间周期内观察更方</w:t>
      </w:r>
      <w:r>
        <w:rPr>
          <w:spacing w:val="3"/>
          <w:sz w:val="22"/>
          <w:szCs w:val="22"/>
        </w:rPr>
        <w:t xml:space="preserve"> </w:t>
      </w:r>
      <w:r>
        <w:rPr>
          <w:spacing w:val="-3"/>
          <w:sz w:val="22"/>
          <w:szCs w:val="22"/>
        </w:rPr>
        <w:t>便。在均线指标上设置10周均线和30周均线，结合股价、市</w:t>
      </w:r>
      <w:r>
        <w:rPr>
          <w:spacing w:val="-4"/>
          <w:sz w:val="22"/>
          <w:szCs w:val="22"/>
        </w:rPr>
        <w:t>值与形态筛选，</w:t>
      </w:r>
      <w:r>
        <w:rPr>
          <w:sz w:val="22"/>
          <w:szCs w:val="22"/>
        </w:rPr>
        <w:t xml:space="preserve"> 把符合条件的个股放在股票池中跟踪。还有一种方法是每天观察市场中的</w:t>
      </w:r>
      <w:r>
        <w:rPr>
          <w:spacing w:val="7"/>
          <w:sz w:val="22"/>
          <w:szCs w:val="22"/>
        </w:rPr>
        <w:t xml:space="preserve">  </w:t>
      </w:r>
      <w:r>
        <w:rPr>
          <w:sz w:val="22"/>
          <w:szCs w:val="22"/>
        </w:rPr>
        <w:t>强势股，从中观察是否有符合趋势牛股指标的机构个股并将其放进股票池</w:t>
      </w:r>
      <w:r>
        <w:rPr>
          <w:spacing w:val="4"/>
          <w:sz w:val="22"/>
          <w:szCs w:val="22"/>
        </w:rPr>
        <w:t xml:space="preserve">  </w:t>
      </w:r>
      <w:r>
        <w:rPr>
          <w:spacing w:val="-9"/>
          <w:sz w:val="22"/>
          <w:szCs w:val="22"/>
        </w:rPr>
        <w:t>跟踪。</w:t>
      </w:r>
    </w:p>
    <w:p w14:paraId="3B1441DE">
      <w:pPr>
        <w:pStyle w:val="7"/>
        <w:spacing w:before="4" w:line="219" w:lineRule="auto"/>
        <w:ind w:left="429"/>
        <w:rPr>
          <w:sz w:val="22"/>
          <w:szCs w:val="22"/>
        </w:rPr>
      </w:pPr>
      <w:r>
        <w:rPr>
          <w:spacing w:val="-9"/>
          <w:sz w:val="22"/>
          <w:szCs w:val="22"/>
        </w:rPr>
        <w:t>在具体操盘的层面，则需要结合日线观察。在日线中添加50日均线和200</w:t>
      </w:r>
    </w:p>
    <w:p w14:paraId="7600FA90">
      <w:pPr>
        <w:spacing w:line="219" w:lineRule="auto"/>
        <w:rPr>
          <w:sz w:val="22"/>
          <w:szCs w:val="22"/>
        </w:rPr>
        <w:sectPr>
          <w:pgSz w:w="8770" w:h="13360"/>
          <w:pgMar w:top="952" w:right="520" w:bottom="682" w:left="1100" w:header="691" w:footer="547" w:gutter="0"/>
          <w:cols w:space="720" w:num="1"/>
        </w:sectPr>
      </w:pPr>
    </w:p>
    <w:p w14:paraId="1680B8CD">
      <w:pPr>
        <w:spacing w:before="285" w:line="222" w:lineRule="auto"/>
        <w:ind w:left="5610"/>
        <w:rPr>
          <w:rFonts w:ascii="FangSong" w:hAnsi="FangSong" w:eastAsia="FangSong" w:cs="FangSong"/>
          <w:sz w:val="17"/>
          <w:szCs w:val="17"/>
        </w:rPr>
      </w:pPr>
      <w:r>
        <w:rPr>
          <w:rFonts w:ascii="FangSong" w:hAnsi="FangSong" w:eastAsia="FangSong" w:cs="FangSong"/>
          <w:spacing w:val="12"/>
          <w:sz w:val="17"/>
          <w:szCs w:val="17"/>
        </w:rPr>
        <w:t>第三章</w:t>
      </w:r>
      <w:r>
        <w:rPr>
          <w:rFonts w:ascii="FangSong" w:hAnsi="FangSong" w:eastAsia="FangSong" w:cs="FangSong"/>
          <w:spacing w:val="61"/>
          <w:sz w:val="17"/>
          <w:szCs w:val="17"/>
        </w:rPr>
        <w:t xml:space="preserve"> </w:t>
      </w:r>
      <w:r>
        <w:rPr>
          <w:rFonts w:ascii="FangSong" w:hAnsi="FangSong" w:eastAsia="FangSong" w:cs="FangSong"/>
          <w:spacing w:val="12"/>
          <w:sz w:val="17"/>
          <w:szCs w:val="17"/>
        </w:rPr>
        <w:t>趋势战法</w:t>
      </w:r>
    </w:p>
    <w:p w14:paraId="45AED142">
      <w:pPr>
        <w:spacing w:line="433" w:lineRule="auto"/>
        <w:rPr>
          <w:rFonts w:ascii="Arial"/>
          <w:sz w:val="21"/>
        </w:rPr>
      </w:pPr>
    </w:p>
    <w:p w14:paraId="5A08FAFA">
      <w:pPr>
        <w:pStyle w:val="7"/>
        <w:spacing w:before="72" w:line="312" w:lineRule="auto"/>
        <w:rPr>
          <w:sz w:val="22"/>
          <w:szCs w:val="22"/>
        </w:rPr>
      </w:pPr>
      <w:r>
        <w:rPr>
          <w:spacing w:val="-18"/>
          <w:sz w:val="22"/>
          <w:szCs w:val="22"/>
        </w:rPr>
        <w:t>日均线，划出历史平台突破线，结合图形、成交量、</w:t>
      </w:r>
      <w:r>
        <w:rPr>
          <w:rFonts w:ascii="Times New Roman" w:hAnsi="Times New Roman" w:eastAsia="Times New Roman" w:cs="Times New Roman"/>
          <w:spacing w:val="-18"/>
          <w:sz w:val="22"/>
          <w:szCs w:val="22"/>
        </w:rPr>
        <w:t>RS</w:t>
      </w:r>
      <w:r>
        <w:rPr>
          <w:rFonts w:ascii="Times New Roman" w:hAnsi="Times New Roman" w:eastAsia="Times New Roman" w:cs="Times New Roman"/>
          <w:spacing w:val="-19"/>
          <w:sz w:val="22"/>
          <w:szCs w:val="22"/>
        </w:rPr>
        <w:t xml:space="preserve"> </w:t>
      </w:r>
      <w:r>
        <w:rPr>
          <w:spacing w:val="-19"/>
          <w:sz w:val="22"/>
          <w:szCs w:val="22"/>
        </w:rPr>
        <w:t>与</w:t>
      </w:r>
      <w:r>
        <w:rPr>
          <w:spacing w:val="-57"/>
          <w:sz w:val="22"/>
          <w:szCs w:val="22"/>
        </w:rPr>
        <w:t xml:space="preserve"> </w:t>
      </w:r>
      <w:r>
        <w:rPr>
          <w:rFonts w:ascii="Times New Roman" w:hAnsi="Times New Roman" w:eastAsia="Times New Roman" w:cs="Times New Roman"/>
          <w:spacing w:val="-19"/>
          <w:sz w:val="22"/>
          <w:szCs w:val="22"/>
        </w:rPr>
        <w:t xml:space="preserve">RSI </w:t>
      </w:r>
      <w:r>
        <w:rPr>
          <w:spacing w:val="-19"/>
          <w:sz w:val="22"/>
          <w:szCs w:val="22"/>
        </w:rPr>
        <w:t>值观察趋势强度。</w:t>
      </w:r>
      <w:r>
        <w:rPr>
          <w:sz w:val="22"/>
          <w:szCs w:val="22"/>
        </w:rPr>
        <w:t xml:space="preserve"> </w:t>
      </w:r>
      <w:r>
        <w:rPr>
          <w:spacing w:val="-18"/>
          <w:sz w:val="22"/>
          <w:szCs w:val="22"/>
        </w:rPr>
        <w:t>建立目标股池后，再通过个股去观察行业，了解个股</w:t>
      </w:r>
      <w:r>
        <w:rPr>
          <w:spacing w:val="-19"/>
          <w:sz w:val="22"/>
          <w:szCs w:val="22"/>
        </w:rPr>
        <w:t>与行业的基本面与题材。</w:t>
      </w:r>
    </w:p>
    <w:p w14:paraId="653BF1A4">
      <w:pPr>
        <w:spacing w:before="22" w:line="224" w:lineRule="auto"/>
        <w:ind w:left="430"/>
        <w:rPr>
          <w:rFonts w:ascii="KaiTi" w:hAnsi="KaiTi" w:eastAsia="KaiTi" w:cs="KaiTi"/>
          <w:sz w:val="22"/>
          <w:szCs w:val="22"/>
        </w:rPr>
      </w:pPr>
      <w:r>
        <w:rPr>
          <w:rFonts w:ascii="KaiTi" w:hAnsi="KaiTi" w:eastAsia="KaiTi" w:cs="KaiTi"/>
          <w:spacing w:val="-3"/>
          <w:sz w:val="22"/>
          <w:szCs w:val="22"/>
        </w:rPr>
        <w:t>(八)底部历史平台突破</w:t>
      </w:r>
    </w:p>
    <w:p w14:paraId="5F98C776">
      <w:pPr>
        <w:pStyle w:val="7"/>
        <w:spacing w:before="77" w:line="326" w:lineRule="auto"/>
        <w:ind w:right="33" w:firstLine="409"/>
        <w:jc w:val="both"/>
        <w:rPr>
          <w:sz w:val="21"/>
          <w:szCs w:val="21"/>
        </w:rPr>
      </w:pPr>
      <w:r>
        <w:rPr>
          <w:spacing w:val="-3"/>
          <w:sz w:val="21"/>
          <w:szCs w:val="21"/>
        </w:rPr>
        <w:t>对于目标池的强势个股，一定要划出待突破的历史平台线。这</w:t>
      </w:r>
      <w:r>
        <w:rPr>
          <w:spacing w:val="-4"/>
          <w:sz w:val="21"/>
          <w:szCs w:val="21"/>
        </w:rPr>
        <w:t>个平台线是</w:t>
      </w:r>
      <w:r>
        <w:rPr>
          <w:sz w:val="21"/>
          <w:szCs w:val="21"/>
        </w:rPr>
        <w:t xml:space="preserve"> </w:t>
      </w:r>
      <w:r>
        <w:rPr>
          <w:spacing w:val="3"/>
          <w:sz w:val="21"/>
          <w:szCs w:val="21"/>
        </w:rPr>
        <w:t>我们观察股价并在整理修复后决定是否强势启动的指标线。这个线通常按股</w:t>
      </w:r>
      <w:r>
        <w:rPr>
          <w:sz w:val="21"/>
          <w:szCs w:val="21"/>
        </w:rPr>
        <w:t xml:space="preserve"> </w:t>
      </w:r>
      <w:r>
        <w:rPr>
          <w:spacing w:val="7"/>
          <w:sz w:val="21"/>
          <w:szCs w:val="21"/>
        </w:rPr>
        <w:t>价的上一个历史平台高点对齐划出。当股价在站上3</w:t>
      </w:r>
      <w:r>
        <w:rPr>
          <w:spacing w:val="6"/>
          <w:sz w:val="21"/>
          <w:szCs w:val="21"/>
        </w:rPr>
        <w:t>0周均线(或200日均线)</w:t>
      </w:r>
      <w:r>
        <w:rPr>
          <w:sz w:val="21"/>
          <w:szCs w:val="21"/>
        </w:rPr>
        <w:t xml:space="preserve"> </w:t>
      </w:r>
      <w:r>
        <w:rPr>
          <w:spacing w:val="-3"/>
          <w:sz w:val="21"/>
          <w:szCs w:val="21"/>
        </w:rPr>
        <w:t>后再放量，突破底部的这个历史平台并创出新高，上面很大一段空间就没有了</w:t>
      </w:r>
      <w:r>
        <w:rPr>
          <w:spacing w:val="8"/>
          <w:sz w:val="21"/>
          <w:szCs w:val="21"/>
        </w:rPr>
        <w:t xml:space="preserve"> </w:t>
      </w:r>
      <w:r>
        <w:rPr>
          <w:spacing w:val="-9"/>
          <w:sz w:val="21"/>
          <w:szCs w:val="21"/>
        </w:rPr>
        <w:t>历史筹码压力，其股价的上涨空间就被打开，个股趋势已经确认，参</w:t>
      </w:r>
      <w:r>
        <w:rPr>
          <w:spacing w:val="-10"/>
          <w:sz w:val="21"/>
          <w:szCs w:val="21"/>
        </w:rPr>
        <w:t>与的机会也</w:t>
      </w:r>
      <w:r>
        <w:rPr>
          <w:sz w:val="21"/>
          <w:szCs w:val="21"/>
        </w:rPr>
        <w:t xml:space="preserve"> </w:t>
      </w:r>
      <w:r>
        <w:rPr>
          <w:spacing w:val="-3"/>
          <w:sz w:val="21"/>
          <w:szCs w:val="21"/>
        </w:rPr>
        <w:t>就来了。</w:t>
      </w:r>
    </w:p>
    <w:p w14:paraId="5719C311">
      <w:pPr>
        <w:spacing w:before="193" w:line="221" w:lineRule="auto"/>
        <w:ind w:left="430"/>
        <w:rPr>
          <w:rFonts w:ascii="黑体" w:hAnsi="黑体" w:eastAsia="黑体" w:cs="黑体"/>
          <w:sz w:val="22"/>
          <w:szCs w:val="22"/>
        </w:rPr>
        <w:outlineLvl w:val="2"/>
      </w:pPr>
      <w:r>
        <w:rPr>
          <w:rFonts w:ascii="黑体" w:hAnsi="黑体" w:eastAsia="黑体" w:cs="黑体"/>
          <w:spacing w:val="-12"/>
          <w:sz w:val="22"/>
          <w:szCs w:val="22"/>
        </w:rPr>
        <w:t>三、典型趋势牛股解析</w:t>
      </w:r>
    </w:p>
    <w:p w14:paraId="4AE2C687">
      <w:pPr>
        <w:spacing w:before="309" w:line="227" w:lineRule="auto"/>
        <w:ind w:left="430"/>
        <w:rPr>
          <w:rFonts w:ascii="KaiTi" w:hAnsi="KaiTi" w:eastAsia="KaiTi" w:cs="KaiTi"/>
          <w:sz w:val="22"/>
          <w:szCs w:val="22"/>
        </w:rPr>
      </w:pPr>
      <w:r>
        <w:rPr>
          <w:rFonts w:ascii="KaiTi" w:hAnsi="KaiTi" w:eastAsia="KaiTi" w:cs="KaiTi"/>
          <w:spacing w:val="-4"/>
          <w:sz w:val="22"/>
          <w:szCs w:val="22"/>
        </w:rPr>
        <w:t>(一)奋达科技</w:t>
      </w:r>
    </w:p>
    <w:p w14:paraId="7708F2F4">
      <w:pPr>
        <w:pStyle w:val="7"/>
        <w:spacing w:before="78" w:line="219" w:lineRule="auto"/>
        <w:ind w:left="430"/>
        <w:rPr>
          <w:sz w:val="22"/>
          <w:szCs w:val="22"/>
        </w:rPr>
      </w:pPr>
      <w:r>
        <w:rPr>
          <w:spacing w:val="-3"/>
          <w:sz w:val="22"/>
          <w:szCs w:val="22"/>
        </w:rPr>
        <w:t>下面是奋达科技的周线(见图3-1)与日线(见图3—2)。</w:t>
      </w:r>
    </w:p>
    <w:p w14:paraId="6654085F">
      <w:pPr>
        <w:spacing w:line="251" w:lineRule="auto"/>
        <w:rPr>
          <w:rFonts w:ascii="Arial"/>
          <w:sz w:val="21"/>
        </w:rPr>
      </w:pPr>
    </w:p>
    <w:p w14:paraId="20E4452E">
      <w:pPr>
        <w:spacing w:line="251" w:lineRule="auto"/>
        <w:rPr>
          <w:rFonts w:ascii="Arial"/>
          <w:sz w:val="21"/>
        </w:rPr>
      </w:pPr>
    </w:p>
    <w:p w14:paraId="0EF544E1">
      <w:pPr>
        <w:spacing w:line="252" w:lineRule="auto"/>
        <w:rPr>
          <w:rFonts w:ascii="Arial"/>
          <w:sz w:val="21"/>
        </w:rPr>
      </w:pPr>
    </w:p>
    <w:p w14:paraId="0DFFE2AA">
      <w:pPr>
        <w:pStyle w:val="7"/>
        <w:spacing w:before="36" w:line="223" w:lineRule="auto"/>
        <w:ind w:left="430" w:right="5444"/>
        <w:jc w:val="both"/>
        <w:rPr>
          <w:sz w:val="13"/>
          <w:szCs w:val="13"/>
        </w:rPr>
      </w:pPr>
      <w:r>
        <w:drawing>
          <wp:anchor distT="0" distB="0" distL="0" distR="0" simplePos="0" relativeHeight="251691008" behindDoc="1" locked="0" layoutInCell="1" allowOverlap="1">
            <wp:simplePos x="0" y="0"/>
            <wp:positionH relativeFrom="column">
              <wp:posOffset>44450</wp:posOffset>
            </wp:positionH>
            <wp:positionV relativeFrom="paragraph">
              <wp:posOffset>-328295</wp:posOffset>
            </wp:positionV>
            <wp:extent cx="4425950" cy="2635250"/>
            <wp:effectExtent l="0" t="0" r="0" b="0"/>
            <wp:wrapNone/>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606"/>
                    <a:stretch>
                      <a:fillRect/>
                    </a:stretch>
                  </pic:blipFill>
                  <pic:spPr>
                    <a:xfrm>
                      <a:off x="0" y="0"/>
                      <a:ext cx="4425933" cy="2635297"/>
                    </a:xfrm>
                    <a:prstGeom prst="rect">
                      <a:avLst/>
                    </a:prstGeom>
                  </pic:spPr>
                </pic:pic>
              </a:graphicData>
            </a:graphic>
          </wp:anchor>
        </w:drawing>
      </w:r>
      <w:r>
        <w:rPr>
          <w:spacing w:val="7"/>
          <w:sz w:val="11"/>
          <w:szCs w:val="11"/>
        </w:rPr>
        <w:t>突破平台，股价新高，</w:t>
      </w:r>
      <w:r>
        <w:rPr>
          <w:spacing w:val="1"/>
          <w:sz w:val="11"/>
          <w:szCs w:val="11"/>
        </w:rPr>
        <w:t xml:space="preserve">  </w:t>
      </w:r>
      <w:r>
        <w:rPr>
          <w:spacing w:val="-13"/>
          <w:sz w:val="13"/>
          <w:szCs w:val="13"/>
        </w:rPr>
        <w:t>空间打开半年涨了7倍，</w:t>
      </w:r>
      <w:r>
        <w:rPr>
          <w:spacing w:val="1"/>
          <w:sz w:val="13"/>
          <w:szCs w:val="13"/>
        </w:rPr>
        <w:t xml:space="preserve"> </w:t>
      </w:r>
      <w:r>
        <w:rPr>
          <w:spacing w:val="-5"/>
          <w:sz w:val="13"/>
          <w:szCs w:val="13"/>
        </w:rPr>
        <w:t>2年涨了18倍</w:t>
      </w:r>
    </w:p>
    <w:p w14:paraId="7DAE6EAD">
      <w:pPr>
        <w:spacing w:before="131" w:line="232" w:lineRule="exact"/>
        <w:ind w:left="2499"/>
        <w:rPr>
          <w:rFonts w:ascii="Arial" w:hAnsi="Arial" w:eastAsia="Arial" w:cs="Arial"/>
          <w:sz w:val="17"/>
          <w:szCs w:val="17"/>
        </w:rPr>
      </w:pPr>
      <w:r>
        <w:rPr>
          <w:rFonts w:ascii="Arial" w:hAnsi="Arial" w:eastAsia="Arial" w:cs="Arial"/>
          <w:spacing w:val="-2"/>
          <w:position w:val="1"/>
          <w:sz w:val="17"/>
          <w:szCs w:val="17"/>
        </w:rPr>
        <w:t>74.40</w:t>
      </w:r>
    </w:p>
    <w:p w14:paraId="7D7C8545">
      <w:pPr>
        <w:pStyle w:val="7"/>
        <w:spacing w:before="270" w:line="219" w:lineRule="auto"/>
        <w:ind w:left="3021"/>
        <w:rPr>
          <w:sz w:val="13"/>
          <w:szCs w:val="13"/>
        </w:rPr>
      </w:pPr>
      <w:r>
        <w:pict>
          <v:shape id="_x0000_s1158" o:spid="_x0000_s1158" o:spt="202" type="#_x0000_t202" style="position:absolute;left:0pt;margin-left:20.5pt;margin-top:8.45pt;height:19.3pt;width:40.65pt;z-index:251692032;mso-width-relative:page;mso-height-relative:page;" filled="f" stroked="f" coordsize="21600,21600">
            <v:path/>
            <v:fill on="f" focussize="0,0"/>
            <v:stroke on="f"/>
            <v:imagedata o:title=""/>
            <o:lock v:ext="edit" aspectratio="f"/>
            <v:textbox inset="0mm,0mm,0mm,0mm">
              <w:txbxContent>
                <w:p w14:paraId="056F0E00">
                  <w:pPr>
                    <w:pStyle w:val="7"/>
                    <w:spacing w:before="19" w:line="270" w:lineRule="auto"/>
                    <w:ind w:left="20" w:right="20" w:firstLine="1"/>
                    <w:rPr>
                      <w:sz w:val="12"/>
                      <w:szCs w:val="12"/>
                    </w:rPr>
                  </w:pPr>
                  <w:r>
                    <w:rPr>
                      <w:b/>
                      <w:bCs/>
                      <w:spacing w:val="-3"/>
                      <w:sz w:val="13"/>
                      <w:szCs w:val="13"/>
                    </w:rPr>
                    <w:t>突破平时股价</w:t>
                  </w:r>
                  <w:r>
                    <w:rPr>
                      <w:sz w:val="13"/>
                      <w:szCs w:val="13"/>
                    </w:rPr>
                    <w:t xml:space="preserve"> </w:t>
                  </w:r>
                  <w:r>
                    <w:rPr>
                      <w:spacing w:val="5"/>
                      <w:sz w:val="12"/>
                      <w:szCs w:val="12"/>
                    </w:rPr>
                    <w:t>10元，小</w:t>
                  </w:r>
                  <w:r>
                    <w:rPr>
                      <w:b/>
                      <w:bCs/>
                      <w:spacing w:val="5"/>
                      <w:sz w:val="12"/>
                      <w:szCs w:val="12"/>
                    </w:rPr>
                    <w:t>盘股</w:t>
                  </w:r>
                </w:p>
              </w:txbxContent>
            </v:textbox>
          </v:shape>
        </w:pict>
      </w:r>
      <w:r>
        <w:rPr>
          <w:b/>
          <w:bCs/>
          <w:spacing w:val="-9"/>
          <w:sz w:val="13"/>
          <w:szCs w:val="13"/>
        </w:rPr>
        <w:t>偏离10周线和30</w:t>
      </w:r>
    </w:p>
    <w:p w14:paraId="1C90059B">
      <w:pPr>
        <w:pStyle w:val="7"/>
        <w:spacing w:before="37" w:line="234" w:lineRule="auto"/>
        <w:ind w:left="2069" w:right="3175" w:firstLine="950"/>
        <w:rPr>
          <w:sz w:val="11"/>
          <w:szCs w:val="11"/>
        </w:rPr>
      </w:pPr>
      <w:r>
        <w:rPr>
          <w:spacing w:val="-1"/>
          <w:sz w:val="13"/>
          <w:szCs w:val="13"/>
        </w:rPr>
        <w:t>周线一定被拉回</w:t>
      </w:r>
      <w:r>
        <w:rPr>
          <w:sz w:val="13"/>
          <w:szCs w:val="13"/>
        </w:rPr>
        <w:t xml:space="preserve"> </w:t>
      </w:r>
      <w:r>
        <w:rPr>
          <w:spacing w:val="13"/>
          <w:sz w:val="11"/>
          <w:szCs w:val="11"/>
        </w:rPr>
        <w:t>股价站上10周与30周均线</w:t>
      </w:r>
    </w:p>
    <w:p w14:paraId="2DFEE4B0">
      <w:pPr>
        <w:spacing w:line="109" w:lineRule="exact"/>
        <w:ind w:left="1600"/>
        <w:rPr>
          <w:rFonts w:ascii="Times New Roman" w:hAnsi="Times New Roman" w:eastAsia="Times New Roman" w:cs="Times New Roman"/>
          <w:sz w:val="18"/>
          <w:szCs w:val="18"/>
        </w:rPr>
      </w:pPr>
      <w:r>
        <w:rPr>
          <w:rFonts w:ascii="Times New Roman" w:hAnsi="Times New Roman" w:eastAsia="Times New Roman" w:cs="Times New Roman"/>
          <w:spacing w:val="-12"/>
          <w:position w:val="-3"/>
          <w:sz w:val="18"/>
          <w:szCs w:val="18"/>
        </w:rPr>
        <w:t>10.52</w:t>
      </w:r>
    </w:p>
    <w:p w14:paraId="60B80281">
      <w:pPr>
        <w:pStyle w:val="7"/>
        <w:spacing w:before="1" w:line="216" w:lineRule="auto"/>
        <w:ind w:left="690"/>
        <w:rPr>
          <w:sz w:val="13"/>
          <w:szCs w:val="13"/>
        </w:rPr>
      </w:pPr>
      <w:r>
        <w:rPr>
          <w:spacing w:val="-1"/>
          <w:sz w:val="13"/>
          <w:szCs w:val="13"/>
        </w:rPr>
        <w:t>成交量放大</w:t>
      </w:r>
    </w:p>
    <w:p w14:paraId="1F3A4F7E">
      <w:pPr>
        <w:pStyle w:val="7"/>
        <w:spacing w:before="252" w:line="219" w:lineRule="auto"/>
        <w:ind w:left="749"/>
        <w:rPr>
          <w:sz w:val="11"/>
          <w:szCs w:val="11"/>
        </w:rPr>
      </w:pPr>
      <w:r>
        <w:rPr>
          <w:rFonts w:ascii="Times New Roman" w:hAnsi="Times New Roman" w:eastAsia="Times New Roman" w:cs="Times New Roman"/>
          <w:b/>
          <w:bCs/>
          <w:sz w:val="11"/>
          <w:szCs w:val="11"/>
        </w:rPr>
        <w:t>RS</w:t>
      </w:r>
      <w:r>
        <w:rPr>
          <w:b/>
          <w:bCs/>
          <w:spacing w:val="5"/>
          <w:sz w:val="11"/>
          <w:szCs w:val="11"/>
        </w:rPr>
        <w:t>持续强于指数</w:t>
      </w:r>
    </w:p>
    <w:p w14:paraId="6D57C8BC">
      <w:pPr>
        <w:spacing w:line="476" w:lineRule="auto"/>
        <w:rPr>
          <w:rFonts w:ascii="Arial"/>
          <w:sz w:val="21"/>
        </w:rPr>
      </w:pPr>
    </w:p>
    <w:p w14:paraId="04590289">
      <w:pPr>
        <w:pStyle w:val="7"/>
        <w:spacing w:before="43" w:line="219" w:lineRule="auto"/>
        <w:ind w:left="180"/>
        <w:rPr>
          <w:sz w:val="13"/>
          <w:szCs w:val="13"/>
        </w:rPr>
      </w:pPr>
      <w:r>
        <w:rPr>
          <w:spacing w:val="-6"/>
          <w:sz w:val="13"/>
          <w:szCs w:val="13"/>
        </w:rPr>
        <w:t>突破前，</w:t>
      </w:r>
      <w:r>
        <w:rPr>
          <w:rFonts w:ascii="Times New Roman" w:hAnsi="Times New Roman" w:eastAsia="Times New Roman" w:cs="Times New Roman"/>
          <w:spacing w:val="-6"/>
          <w:sz w:val="13"/>
          <w:szCs w:val="13"/>
        </w:rPr>
        <w:t>RST</w:t>
      </w:r>
      <w:r>
        <w:rPr>
          <w:spacing w:val="-6"/>
          <w:sz w:val="13"/>
          <w:szCs w:val="13"/>
        </w:rPr>
        <w:t>上冲70值</w:t>
      </w:r>
    </w:p>
    <w:p w14:paraId="76464DCE">
      <w:pPr>
        <w:spacing w:line="108" w:lineRule="exact"/>
      </w:pPr>
    </w:p>
    <w:p w14:paraId="024E2AB6">
      <w:pPr>
        <w:spacing w:line="108" w:lineRule="exact"/>
        <w:sectPr>
          <w:pgSz w:w="8740" w:h="13340"/>
          <w:pgMar w:top="400" w:right="1060" w:bottom="758" w:left="579" w:header="0" w:footer="526" w:gutter="0"/>
          <w:cols w:equalWidth="0" w:num="1">
            <w:col w:w="7100"/>
          </w:cols>
        </w:sectPr>
      </w:pPr>
    </w:p>
    <w:p w14:paraId="360422F6">
      <w:pPr>
        <w:pStyle w:val="7"/>
        <w:spacing w:before="199" w:line="282" w:lineRule="auto"/>
        <w:ind w:left="3020" w:right="413"/>
        <w:rPr>
          <w:sz w:val="13"/>
          <w:szCs w:val="13"/>
        </w:rPr>
      </w:pPr>
      <w:r>
        <w:rPr>
          <w:spacing w:val="-8"/>
          <w:sz w:val="13"/>
          <w:szCs w:val="13"/>
        </w:rPr>
        <w:t>回调不破40</w:t>
      </w:r>
      <w:r>
        <w:rPr>
          <w:spacing w:val="1"/>
          <w:sz w:val="13"/>
          <w:szCs w:val="13"/>
        </w:rPr>
        <w:t xml:space="preserve">  </w:t>
      </w:r>
      <w:r>
        <w:rPr>
          <w:spacing w:val="-10"/>
          <w:w w:val="96"/>
          <w:sz w:val="13"/>
          <w:szCs w:val="13"/>
        </w:rPr>
        <w:t>上涨仍将继续</w:t>
      </w:r>
    </w:p>
    <w:p w14:paraId="1FE7E224">
      <w:pPr>
        <w:spacing w:line="14" w:lineRule="auto"/>
        <w:rPr>
          <w:rFonts w:ascii="Arial"/>
          <w:sz w:val="2"/>
        </w:rPr>
      </w:pPr>
      <w:r>
        <w:rPr>
          <w:rFonts w:ascii="Arial" w:hAnsi="Arial" w:eastAsia="Arial" w:cs="Arial"/>
          <w:sz w:val="2"/>
          <w:szCs w:val="2"/>
        </w:rPr>
        <w:br w:type="column"/>
      </w:r>
    </w:p>
    <w:p w14:paraId="7B5854FC">
      <w:pPr>
        <w:spacing w:before="25" w:line="221" w:lineRule="auto"/>
        <w:rPr>
          <w:rFonts w:ascii="黑体" w:hAnsi="黑体" w:eastAsia="黑体" w:cs="黑体"/>
          <w:sz w:val="13"/>
          <w:szCs w:val="13"/>
        </w:rPr>
      </w:pPr>
      <w:r>
        <w:rPr>
          <w:rFonts w:ascii="黑体" w:hAnsi="黑体" w:eastAsia="黑体" w:cs="黑体"/>
          <w:spacing w:val="-1"/>
          <w:sz w:val="13"/>
          <w:szCs w:val="13"/>
        </w:rPr>
        <w:t>完成整理</w:t>
      </w:r>
    </w:p>
    <w:p w14:paraId="2F131093">
      <w:pPr>
        <w:pStyle w:val="7"/>
        <w:spacing w:before="16" w:line="221" w:lineRule="auto"/>
        <w:rPr>
          <w:sz w:val="11"/>
          <w:szCs w:val="11"/>
        </w:rPr>
      </w:pPr>
      <w:r>
        <w:rPr>
          <w:spacing w:val="7"/>
          <w:sz w:val="11"/>
          <w:szCs w:val="11"/>
        </w:rPr>
        <w:t>向上冲破60</w:t>
      </w:r>
    </w:p>
    <w:p w14:paraId="303F775A">
      <w:pPr>
        <w:pStyle w:val="7"/>
        <w:spacing w:before="68" w:line="220" w:lineRule="auto"/>
        <w:rPr>
          <w:sz w:val="11"/>
          <w:szCs w:val="11"/>
        </w:rPr>
      </w:pPr>
      <w:r>
        <w:rPr>
          <w:spacing w:val="10"/>
          <w:sz w:val="11"/>
          <w:szCs w:val="11"/>
        </w:rPr>
        <w:t>进入新一波上涨</w:t>
      </w:r>
    </w:p>
    <w:p w14:paraId="20A4C08F">
      <w:pPr>
        <w:spacing w:line="220" w:lineRule="auto"/>
        <w:rPr>
          <w:sz w:val="11"/>
          <w:szCs w:val="11"/>
        </w:rPr>
        <w:sectPr>
          <w:type w:val="continuous"/>
          <w:pgSz w:w="8740" w:h="13340"/>
          <w:pgMar w:top="400" w:right="1060" w:bottom="758" w:left="579" w:header="0" w:footer="526" w:gutter="0"/>
          <w:cols w:equalWidth="0" w:num="2">
            <w:col w:w="4130" w:space="100"/>
            <w:col w:w="2870"/>
          </w:cols>
        </w:sectPr>
      </w:pPr>
    </w:p>
    <w:p w14:paraId="4D1E776B">
      <w:pPr>
        <w:pStyle w:val="7"/>
        <w:spacing w:before="211" w:line="187" w:lineRule="auto"/>
        <w:ind w:left="2672"/>
        <w:rPr>
          <w:rFonts w:ascii="黑体" w:hAnsi="黑体" w:eastAsia="黑体" w:cs="黑体"/>
        </w:rPr>
      </w:pPr>
      <w:r>
        <w:rPr>
          <w:b/>
          <w:bCs/>
          <w:spacing w:val="-2"/>
        </w:rPr>
        <w:t>图</w:t>
      </w:r>
      <w:r>
        <w:rPr>
          <w:spacing w:val="-2"/>
        </w:rPr>
        <w:t xml:space="preserve"> </w:t>
      </w:r>
      <w:r>
        <w:rPr>
          <w:b/>
          <w:bCs/>
          <w:spacing w:val="-2"/>
        </w:rPr>
        <w:t>3</w:t>
      </w:r>
      <w:r>
        <w:rPr>
          <w:spacing w:val="-7"/>
        </w:rPr>
        <w:t xml:space="preserve"> </w:t>
      </w:r>
      <w:r>
        <w:rPr>
          <w:b/>
          <w:bCs/>
          <w:spacing w:val="-2"/>
        </w:rPr>
        <w:t>-</w:t>
      </w:r>
      <w:r>
        <w:rPr>
          <w:spacing w:val="-2"/>
        </w:rPr>
        <w:t xml:space="preserve"> </w:t>
      </w:r>
      <w:r>
        <w:rPr>
          <w:b/>
          <w:bCs/>
          <w:spacing w:val="-2"/>
        </w:rPr>
        <w:t>1</w:t>
      </w:r>
      <w:r>
        <w:rPr>
          <w:spacing w:val="60"/>
        </w:rPr>
        <w:t xml:space="preserve"> </w:t>
      </w:r>
      <w:r>
        <w:rPr>
          <w:rFonts w:ascii="黑体" w:hAnsi="黑体" w:eastAsia="黑体" w:cs="黑体"/>
          <w:spacing w:val="-2"/>
        </w:rPr>
        <w:t>奋进科技周线</w:t>
      </w:r>
    </w:p>
    <w:p w14:paraId="64E7EEAD">
      <w:pPr>
        <w:spacing w:line="187" w:lineRule="auto"/>
        <w:rPr>
          <w:rFonts w:ascii="黑体" w:hAnsi="黑体" w:eastAsia="黑体" w:cs="黑体"/>
        </w:rPr>
        <w:sectPr>
          <w:type w:val="continuous"/>
          <w:pgSz w:w="8740" w:h="13340"/>
          <w:pgMar w:top="400" w:right="1060" w:bottom="758" w:left="579" w:header="0" w:footer="526" w:gutter="0"/>
          <w:cols w:equalWidth="0" w:num="1">
            <w:col w:w="7100"/>
          </w:cols>
        </w:sectPr>
      </w:pPr>
    </w:p>
    <w:p w14:paraId="07270296">
      <w:pPr>
        <w:spacing w:line="306" w:lineRule="auto"/>
        <w:rPr>
          <w:rFonts w:ascii="Arial"/>
          <w:sz w:val="21"/>
        </w:rPr>
      </w:pPr>
    </w:p>
    <w:p w14:paraId="59434239">
      <w:pPr>
        <w:spacing w:line="307" w:lineRule="auto"/>
        <w:rPr>
          <w:rFonts w:ascii="Arial"/>
          <w:sz w:val="21"/>
        </w:rPr>
      </w:pPr>
    </w:p>
    <w:p w14:paraId="73AF1A3E">
      <w:pPr>
        <w:pStyle w:val="7"/>
        <w:spacing w:line="3960" w:lineRule="exact"/>
        <w:ind w:firstLine="39"/>
      </w:pPr>
      <w:r>
        <w:rPr>
          <w:position w:val="-79"/>
        </w:rPr>
        <w:pict>
          <v:group id="_x0000_s1159" o:spid="_x0000_s1159" o:spt="203" style="height:198.05pt;width:351pt;" coordsize="7020,3961">
            <o:lock v:ext="edit"/>
            <v:shape id="_x0000_s1160" o:spid="_x0000_s1160" o:spt="75" type="#_x0000_t75" style="position:absolute;left:0;top:0;height:3961;width:7020;" filled="f" stroked="f" coordsize="21600,21600">
              <v:path/>
              <v:fill on="f" focussize="0,0"/>
              <v:stroke on="f"/>
              <v:imagedata r:id="rId607" o:title=""/>
              <o:lock v:ext="edit" aspectratio="t"/>
            </v:shape>
            <v:shape id="_x0000_s1161" o:spid="_x0000_s1161" o:spt="202" type="#_x0000_t202" style="position:absolute;left:39;top:169;height:3531;width:6920;" filled="f" stroked="f" coordsize="21600,21600">
              <v:path/>
              <v:fill on="f" focussize="0,0"/>
              <v:stroke on="f"/>
              <v:imagedata o:title=""/>
              <o:lock v:ext="edit" aspectratio="f"/>
              <v:textbox inset="0mm,0mm,0mm,0mm">
                <w:txbxContent>
                  <w:p w14:paraId="19F56090">
                    <w:pPr>
                      <w:spacing w:before="19" w:line="236" w:lineRule="auto"/>
                      <w:ind w:left="4330"/>
                      <w:rPr>
                        <w:rFonts w:ascii="Times New Roman" w:hAnsi="Times New Roman" w:eastAsia="Times New Roman" w:cs="Times New Roman"/>
                        <w:sz w:val="7"/>
                        <w:szCs w:val="7"/>
                      </w:rPr>
                    </w:pPr>
                    <w:r>
                      <w:rPr>
                        <w:rFonts w:ascii="宋体" w:hAnsi="宋体" w:eastAsia="宋体" w:cs="宋体"/>
                        <w:spacing w:val="-1"/>
                        <w:sz w:val="7"/>
                        <w:szCs w:val="7"/>
                      </w:rPr>
                      <w:t xml:space="preserve">#4                        </w:t>
                    </w:r>
                    <w:r>
                      <w:rPr>
                        <w:rFonts w:ascii="Times New Roman" w:hAnsi="Times New Roman" w:eastAsia="Times New Roman" w:cs="Times New Roman"/>
                        <w:spacing w:val="-1"/>
                        <w:sz w:val="7"/>
                        <w:szCs w:val="7"/>
                      </w:rPr>
                      <w:t>6</w:t>
                    </w:r>
                  </w:p>
                  <w:p w14:paraId="72072985">
                    <w:pPr>
                      <w:spacing w:line="311" w:lineRule="auto"/>
                      <w:rPr>
                        <w:rFonts w:ascii="Arial"/>
                        <w:sz w:val="21"/>
                      </w:rPr>
                    </w:pPr>
                  </w:p>
                  <w:p w14:paraId="74E92D6D">
                    <w:pPr>
                      <w:spacing w:before="42" w:line="264" w:lineRule="auto"/>
                      <w:ind w:left="3110" w:right="2875" w:firstLine="9"/>
                      <w:rPr>
                        <w:rFonts w:ascii="宋体" w:hAnsi="宋体" w:eastAsia="宋体" w:cs="宋体"/>
                        <w:sz w:val="11"/>
                        <w:szCs w:val="11"/>
                      </w:rPr>
                    </w:pPr>
                    <w:r>
                      <w:rPr>
                        <w:rFonts w:ascii="宋体" w:hAnsi="宋体" w:eastAsia="宋体" w:cs="宋体"/>
                        <w:spacing w:val="-7"/>
                        <w:sz w:val="13"/>
                        <w:szCs w:val="13"/>
                      </w:rPr>
                      <w:t>长达5个月的整理</w:t>
                    </w:r>
                    <w:r>
                      <w:rPr>
                        <w:rFonts w:ascii="宋体" w:hAnsi="宋体" w:eastAsia="宋体" w:cs="宋体"/>
                        <w:spacing w:val="4"/>
                        <w:sz w:val="13"/>
                        <w:szCs w:val="13"/>
                      </w:rPr>
                      <w:t xml:space="preserve"> </w:t>
                    </w:r>
                    <w:r>
                      <w:rPr>
                        <w:rFonts w:ascii="FangSong" w:hAnsi="FangSong" w:eastAsia="FangSong" w:cs="FangSong"/>
                        <w:spacing w:val="7"/>
                        <w:sz w:val="11"/>
                        <w:szCs w:val="11"/>
                      </w:rPr>
                      <w:t>站</w:t>
                    </w:r>
                    <w:r>
                      <w:rPr>
                        <w:rFonts w:ascii="FangSong" w:hAnsi="FangSong" w:eastAsia="FangSong" w:cs="FangSong"/>
                        <w:spacing w:val="-13"/>
                        <w:sz w:val="11"/>
                        <w:szCs w:val="11"/>
                      </w:rPr>
                      <w:t xml:space="preserve"> </w:t>
                    </w:r>
                    <w:r>
                      <w:rPr>
                        <w:rFonts w:ascii="宋体" w:hAnsi="宋体" w:eastAsia="宋体" w:cs="宋体"/>
                        <w:spacing w:val="7"/>
                        <w:sz w:val="11"/>
                        <w:szCs w:val="11"/>
                      </w:rPr>
                      <w:t>上200日线</w:t>
                    </w:r>
                  </w:p>
                  <w:p w14:paraId="0B25CC28">
                    <w:pPr>
                      <w:spacing w:before="255" w:line="220" w:lineRule="auto"/>
                      <w:ind w:left="1401"/>
                      <w:rPr>
                        <w:rFonts w:ascii="宋体" w:hAnsi="宋体" w:eastAsia="宋体" w:cs="宋体"/>
                        <w:sz w:val="13"/>
                        <w:szCs w:val="13"/>
                      </w:rPr>
                    </w:pPr>
                    <w:r>
                      <w:rPr>
                        <w:rFonts w:ascii="宋体" w:hAnsi="宋体" w:eastAsia="宋体" w:cs="宋体"/>
                        <w:b/>
                        <w:bCs/>
                        <w:spacing w:val="-11"/>
                        <w:sz w:val="13"/>
                        <w:szCs w:val="13"/>
                      </w:rPr>
                      <w:t>历史平台线</w:t>
                    </w:r>
                  </w:p>
                  <w:p w14:paraId="2DAE0CB8">
                    <w:pPr>
                      <w:spacing w:line="260" w:lineRule="auto"/>
                      <w:rPr>
                        <w:rFonts w:ascii="Arial"/>
                        <w:sz w:val="21"/>
                      </w:rPr>
                    </w:pPr>
                  </w:p>
                  <w:p w14:paraId="1A96D2A9">
                    <w:pPr>
                      <w:spacing w:line="260" w:lineRule="auto"/>
                      <w:rPr>
                        <w:rFonts w:ascii="Arial"/>
                        <w:sz w:val="21"/>
                      </w:rPr>
                    </w:pPr>
                  </w:p>
                  <w:p w14:paraId="3DB64C19">
                    <w:pPr>
                      <w:spacing w:before="32" w:line="150" w:lineRule="exact"/>
                      <w:ind w:left="2139"/>
                      <w:rPr>
                        <w:rFonts w:ascii="Arial" w:hAnsi="Arial" w:eastAsia="Arial" w:cs="Arial"/>
                        <w:sz w:val="11"/>
                        <w:szCs w:val="11"/>
                      </w:rPr>
                    </w:pPr>
                    <w:r>
                      <w:rPr>
                        <w:rFonts w:ascii="Arial" w:hAnsi="Arial" w:eastAsia="Arial" w:cs="Arial"/>
                        <w:spacing w:val="-1"/>
                        <w:position w:val="1"/>
                        <w:sz w:val="11"/>
                        <w:szCs w:val="11"/>
                      </w:rPr>
                      <w:t>7.93</w:t>
                    </w:r>
                  </w:p>
                  <w:p w14:paraId="514B2F0D">
                    <w:pPr>
                      <w:spacing w:before="27" w:line="188" w:lineRule="auto"/>
                      <w:ind w:left="20"/>
                      <w:rPr>
                        <w:rFonts w:ascii="Times New Roman" w:hAnsi="Times New Roman" w:eastAsia="Times New Roman" w:cs="Times New Roman"/>
                        <w:sz w:val="7"/>
                        <w:szCs w:val="7"/>
                      </w:rPr>
                    </w:pPr>
                    <w:r>
                      <w:rPr>
                        <w:rFonts w:ascii="Times New Roman" w:hAnsi="Times New Roman" w:eastAsia="Times New Roman" w:cs="Times New Roman"/>
                        <w:spacing w:val="-1"/>
                        <w:sz w:val="7"/>
                        <w:szCs w:val="7"/>
                      </w:rPr>
                      <w:t>aonean-z2DT</w:t>
                    </w:r>
                  </w:p>
                  <w:p w14:paraId="708A97AC">
                    <w:pPr>
                      <w:spacing w:before="19" w:line="231" w:lineRule="auto"/>
                      <w:ind w:left="2010" w:right="4304"/>
                      <w:rPr>
                        <w:rFonts w:ascii="宋体" w:hAnsi="宋体" w:eastAsia="宋体" w:cs="宋体"/>
                        <w:sz w:val="13"/>
                        <w:szCs w:val="13"/>
                      </w:rPr>
                    </w:pPr>
                    <w:r>
                      <w:rPr>
                        <w:rFonts w:ascii="宋体" w:hAnsi="宋体" w:eastAsia="宋体" w:cs="宋体"/>
                        <w:spacing w:val="3"/>
                        <w:sz w:val="13"/>
                        <w:szCs w:val="13"/>
                      </w:rPr>
                      <w:t>破70,马上</w:t>
                    </w:r>
                    <w:r>
                      <w:rPr>
                        <w:rFonts w:ascii="宋体" w:hAnsi="宋体" w:eastAsia="宋体" w:cs="宋体"/>
                        <w:spacing w:val="1"/>
                        <w:sz w:val="13"/>
                        <w:szCs w:val="13"/>
                      </w:rPr>
                      <w:t xml:space="preserve"> </w:t>
                    </w:r>
                    <w:r>
                      <w:rPr>
                        <w:rFonts w:ascii="宋体" w:hAnsi="宋体" w:eastAsia="宋体" w:cs="宋体"/>
                        <w:spacing w:val="-9"/>
                        <w:sz w:val="13"/>
                        <w:szCs w:val="13"/>
                      </w:rPr>
                      <w:t>回调假突破</w:t>
                    </w:r>
                  </w:p>
                  <w:p w14:paraId="09C54404">
                    <w:pPr>
                      <w:spacing w:line="257" w:lineRule="auto"/>
                      <w:rPr>
                        <w:rFonts w:ascii="Arial"/>
                        <w:sz w:val="21"/>
                      </w:rPr>
                    </w:pPr>
                  </w:p>
                  <w:p w14:paraId="5A26B9CE">
                    <w:pPr>
                      <w:spacing w:line="257" w:lineRule="auto"/>
                      <w:rPr>
                        <w:rFonts w:ascii="Arial"/>
                        <w:sz w:val="21"/>
                      </w:rPr>
                    </w:pPr>
                  </w:p>
                  <w:p w14:paraId="4A901898">
                    <w:pPr>
                      <w:spacing w:line="258" w:lineRule="auto"/>
                      <w:rPr>
                        <w:rFonts w:ascii="Arial"/>
                        <w:sz w:val="21"/>
                      </w:rPr>
                    </w:pPr>
                  </w:p>
                  <w:p w14:paraId="763A131D">
                    <w:pPr>
                      <w:spacing w:line="258" w:lineRule="auto"/>
                      <w:rPr>
                        <w:rFonts w:ascii="Arial"/>
                        <w:sz w:val="21"/>
                      </w:rPr>
                    </w:pPr>
                  </w:p>
                  <w:p w14:paraId="6014A9CE">
                    <w:pPr>
                      <w:spacing w:before="44" w:line="102" w:lineRule="exact"/>
                      <w:jc w:val="right"/>
                      <w:rPr>
                        <w:rFonts w:ascii="Times New Roman" w:hAnsi="Times New Roman" w:eastAsia="Times New Roman" w:cs="Times New Roman"/>
                        <w:sz w:val="15"/>
                        <w:szCs w:val="15"/>
                      </w:rPr>
                    </w:pPr>
                    <w:r>
                      <w:rPr>
                        <w:rFonts w:ascii="Times New Roman" w:hAnsi="Times New Roman" w:eastAsia="Times New Roman" w:cs="Times New Roman"/>
                        <w:w w:val="45"/>
                        <w:sz w:val="15"/>
                        <w:szCs w:val="15"/>
                      </w:rPr>
                      <w:t>a</w:t>
                    </w:r>
                  </w:p>
                </w:txbxContent>
              </v:textbox>
            </v:shape>
            <v:shape id="_x0000_s1162" o:spid="_x0000_s1162" o:spt="202" type="#_x0000_t202" style="position:absolute;left:4769;top:1874;height:340;width:985;" filled="f" stroked="f" coordsize="21600,21600">
              <v:path/>
              <v:fill on="f" focussize="0,0"/>
              <v:stroke on="f"/>
              <v:imagedata o:title=""/>
              <o:lock v:ext="edit" aspectratio="f"/>
              <v:textbox inset="0mm,0mm,0mm,0mm">
                <w:txbxContent>
                  <w:p w14:paraId="724CB6FA">
                    <w:pPr>
                      <w:spacing w:before="19" w:line="261" w:lineRule="auto"/>
                      <w:ind w:left="39" w:right="20" w:hanging="19"/>
                      <w:rPr>
                        <w:rFonts w:ascii="宋体" w:hAnsi="宋体" w:eastAsia="宋体" w:cs="宋体"/>
                        <w:sz w:val="11"/>
                        <w:szCs w:val="11"/>
                      </w:rPr>
                    </w:pPr>
                    <w:r>
                      <w:rPr>
                        <w:rFonts w:ascii="宋体" w:hAnsi="宋体" w:eastAsia="宋体" w:cs="宋体"/>
                        <w:spacing w:val="-7"/>
                        <w:sz w:val="13"/>
                        <w:szCs w:val="13"/>
                      </w:rPr>
                      <w:t>股价最低点上来</w:t>
                    </w:r>
                    <w:r>
                      <w:rPr>
                        <w:rFonts w:ascii="宋体" w:hAnsi="宋体" w:eastAsia="宋体" w:cs="宋体"/>
                        <w:spacing w:val="1"/>
                        <w:sz w:val="13"/>
                        <w:szCs w:val="13"/>
                      </w:rPr>
                      <w:t xml:space="preserve">  </w:t>
                    </w:r>
                    <w:r>
                      <w:rPr>
                        <w:rFonts w:ascii="宋体" w:hAnsi="宋体" w:eastAsia="宋体" w:cs="宋体"/>
                        <w:spacing w:val="11"/>
                        <w:sz w:val="11"/>
                        <w:szCs w:val="11"/>
                      </w:rPr>
                      <w:t>已有20%以上涨幅</w:t>
                    </w:r>
                  </w:p>
                </w:txbxContent>
              </v:textbox>
            </v:shape>
            <v:shape id="_x0000_s1163" o:spid="_x0000_s1163" o:spt="202" type="#_x0000_t202" style="position:absolute;left:379;top:2373;height:462;width:644;" filled="f" stroked="f" coordsize="21600,21600">
              <v:path/>
              <v:fill on="f" focussize="0,0"/>
              <v:stroke on="f"/>
              <v:imagedata o:title=""/>
              <o:lock v:ext="edit" aspectratio="f"/>
              <v:textbox inset="0mm,0mm,0mm,0mm">
                <w:txbxContent>
                  <w:p w14:paraId="2EED30BF">
                    <w:pPr>
                      <w:spacing w:before="20" w:line="177" w:lineRule="exact"/>
                      <w:ind w:left="20"/>
                      <w:rPr>
                        <w:rFonts w:ascii="Arial" w:hAnsi="Arial" w:eastAsia="Arial" w:cs="Arial"/>
                        <w:sz w:val="13"/>
                        <w:szCs w:val="13"/>
                      </w:rPr>
                    </w:pPr>
                    <w:r>
                      <w:rPr>
                        <w:rFonts w:ascii="Arial" w:hAnsi="Arial" w:eastAsia="Arial" w:cs="Arial"/>
                        <w:spacing w:val="-1"/>
                        <w:position w:val="1"/>
                        <w:sz w:val="13"/>
                        <w:szCs w:val="13"/>
                      </w:rPr>
                      <w:t>70.27</w:t>
                    </w:r>
                  </w:p>
                  <w:p w14:paraId="5584CC92">
                    <w:pPr>
                      <w:spacing w:line="245" w:lineRule="exact"/>
                      <w:ind w:right="9"/>
                      <w:jc w:val="right"/>
                      <w:rPr>
                        <w:rFonts w:ascii="Arial" w:hAnsi="Arial" w:eastAsia="Arial" w:cs="Arial"/>
                        <w:sz w:val="18"/>
                        <w:szCs w:val="18"/>
                      </w:rPr>
                    </w:pPr>
                    <w:r>
                      <w:rPr>
                        <w:rFonts w:ascii="Arial" w:hAnsi="Arial" w:eastAsia="Arial" w:cs="Arial"/>
                        <w:spacing w:val="-4"/>
                        <w:position w:val="1"/>
                        <w:sz w:val="18"/>
                        <w:szCs w:val="18"/>
                      </w:rPr>
                      <w:t>60.61</w:t>
                    </w:r>
                  </w:p>
                </w:txbxContent>
              </v:textbox>
            </v:shape>
            <v:shape id="_x0000_s1164" o:spid="_x0000_s1164" o:spt="202" type="#_x0000_t202" style="position:absolute;left:4350;top:643;height:312;width:735;" filled="f" stroked="f" coordsize="21600,21600">
              <v:path/>
              <v:fill on="f" focussize="0,0"/>
              <v:stroke on="f"/>
              <v:imagedata o:title=""/>
              <o:lock v:ext="edit" aspectratio="f"/>
              <v:textbox inset="0mm,0mm,0mm,0mm">
                <w:txbxContent>
                  <w:p w14:paraId="6022639A">
                    <w:pPr>
                      <w:spacing w:before="19" w:line="235" w:lineRule="auto"/>
                      <w:ind w:left="20" w:right="20" w:firstLine="1"/>
                      <w:rPr>
                        <w:rFonts w:ascii="宋体" w:hAnsi="宋体" w:eastAsia="宋体" w:cs="宋体"/>
                        <w:sz w:val="13"/>
                        <w:szCs w:val="13"/>
                      </w:rPr>
                    </w:pPr>
                    <w:r>
                      <w:rPr>
                        <w:rFonts w:ascii="宋体" w:hAnsi="宋体" w:eastAsia="宋体" w:cs="宋体"/>
                        <w:b/>
                        <w:bCs/>
                        <w:spacing w:val="4"/>
                        <w:sz w:val="11"/>
                        <w:szCs w:val="11"/>
                      </w:rPr>
                      <w:t>突破时实际</w:t>
                    </w:r>
                    <w:r>
                      <w:rPr>
                        <w:rFonts w:ascii="宋体" w:hAnsi="宋体" w:eastAsia="宋体" w:cs="宋体"/>
                        <w:spacing w:val="4"/>
                        <w:sz w:val="11"/>
                        <w:szCs w:val="11"/>
                      </w:rPr>
                      <w:t>价</w:t>
                    </w:r>
                    <w:r>
                      <w:rPr>
                        <w:rFonts w:ascii="宋体" w:hAnsi="宋体" w:eastAsia="宋体" w:cs="宋体"/>
                        <w:spacing w:val="2"/>
                        <w:sz w:val="11"/>
                        <w:szCs w:val="11"/>
                      </w:rPr>
                      <w:t xml:space="preserve"> </w:t>
                    </w:r>
                    <w:r>
                      <w:rPr>
                        <w:rFonts w:ascii="宋体" w:hAnsi="宋体" w:eastAsia="宋体" w:cs="宋体"/>
                        <w:spacing w:val="-6"/>
                        <w:sz w:val="13"/>
                        <w:szCs w:val="13"/>
                      </w:rPr>
                      <w:t>格11元左右</w:t>
                    </w:r>
                  </w:p>
                </w:txbxContent>
              </v:textbox>
            </v:shape>
            <v:shape id="_x0000_s1165" o:spid="_x0000_s1165" o:spt="202" type="#_x0000_t202" style="position:absolute;left:5799;top:1785;height:445;width:489;" filled="f" stroked="f" coordsize="21600,21600">
              <v:path/>
              <v:fill on="f" focussize="0,0"/>
              <v:stroke on="f"/>
              <v:imagedata o:title=""/>
              <o:lock v:ext="edit" aspectratio="f"/>
              <v:textbox inset="0mm,0mm,0mm,0mm">
                <w:txbxContent>
                  <w:p w14:paraId="42CAFA7F">
                    <w:pPr>
                      <w:spacing w:before="20" w:line="220" w:lineRule="auto"/>
                      <w:ind w:left="20"/>
                      <w:rPr>
                        <w:rFonts w:ascii="宋体" w:hAnsi="宋体" w:eastAsia="宋体" w:cs="宋体"/>
                        <w:sz w:val="13"/>
                        <w:szCs w:val="13"/>
                      </w:rPr>
                    </w:pPr>
                    <w:r>
                      <w:rPr>
                        <w:rFonts w:ascii="宋体" w:hAnsi="宋体" w:eastAsia="宋体" w:cs="宋体"/>
                        <w:spacing w:val="-1"/>
                        <w:sz w:val="13"/>
                        <w:szCs w:val="13"/>
                      </w:rPr>
                      <w:t>200日线</w:t>
                    </w:r>
                  </w:p>
                  <w:p w14:paraId="73472572">
                    <w:pPr>
                      <w:spacing w:before="175" w:line="196" w:lineRule="auto"/>
                      <w:ind w:left="200"/>
                      <w:rPr>
                        <w:rFonts w:ascii="Arial" w:hAnsi="Arial" w:eastAsia="Arial" w:cs="Arial"/>
                        <w:sz w:val="10"/>
                        <w:szCs w:val="10"/>
                      </w:rPr>
                    </w:pPr>
                    <w:r>
                      <w:rPr>
                        <w:rFonts w:ascii="Arial" w:hAnsi="Arial" w:eastAsia="Arial" w:cs="Arial"/>
                        <w:spacing w:val="-2"/>
                        <w:sz w:val="10"/>
                        <w:szCs w:val="10"/>
                      </w:rPr>
                      <w:t>unFal</w:t>
                    </w:r>
                  </w:p>
                </w:txbxContent>
              </v:textbox>
            </v:shape>
            <v:shape id="_x0000_s1166" o:spid="_x0000_s1166" o:spt="202" type="#_x0000_t202" style="position:absolute;left:3759;top:2255;height:170;width:765;" filled="f" stroked="f" coordsize="21600,21600">
              <v:path/>
              <v:fill on="f" focussize="0,0"/>
              <v:stroke on="f"/>
              <v:imagedata o:title=""/>
              <o:lock v:ext="edit" aspectratio="f"/>
              <v:textbox inset="0mm,0mm,0mm,0mm">
                <w:txbxContent>
                  <w:p w14:paraId="7126DA02">
                    <w:pPr>
                      <w:spacing w:before="20" w:line="220" w:lineRule="auto"/>
                      <w:ind w:left="20"/>
                      <w:rPr>
                        <w:rFonts w:ascii="宋体" w:hAnsi="宋体" w:eastAsia="宋体" w:cs="宋体"/>
                        <w:sz w:val="13"/>
                        <w:szCs w:val="13"/>
                      </w:rPr>
                    </w:pPr>
                    <w:r>
                      <w:rPr>
                        <w:rFonts w:ascii="宋体" w:hAnsi="宋体" w:eastAsia="宋体" w:cs="宋体"/>
                        <w:spacing w:val="-7"/>
                        <w:sz w:val="13"/>
                        <w:szCs w:val="13"/>
                      </w:rPr>
                      <w:t>站上70买点现</w:t>
                    </w:r>
                  </w:p>
                </w:txbxContent>
              </v:textbox>
            </v:shape>
            <v:shape id="_x0000_s1167" o:spid="_x0000_s1167" o:spt="202" type="#_x0000_t202" style="position:absolute;left:6477;top:2085;height:177;width:310;" filled="f" stroked="f" coordsize="21600,21600">
              <v:path/>
              <v:fill on="f" focussize="0,0"/>
              <v:stroke on="f"/>
              <v:imagedata o:title=""/>
              <o:lock v:ext="edit" aspectratio="f"/>
              <v:textbox inset="0mm,0mm,0mm,0mm">
                <w:txbxContent>
                  <w:p w14:paraId="73E620EE">
                    <w:pPr>
                      <w:spacing w:before="20" w:line="136" w:lineRule="exact"/>
                      <w:ind w:left="20"/>
                      <w:rPr>
                        <w:rFonts w:ascii="Arial" w:hAnsi="Arial" w:eastAsia="Arial" w:cs="Arial"/>
                        <w:sz w:val="10"/>
                        <w:szCs w:val="10"/>
                      </w:rPr>
                    </w:pPr>
                    <w:r>
                      <w:rPr>
                        <w:rFonts w:ascii="Arial" w:hAnsi="Arial" w:eastAsia="Arial" w:cs="Arial"/>
                        <w:spacing w:val="-1"/>
                        <w:position w:val="1"/>
                        <w:sz w:val="10"/>
                        <w:szCs w:val="10"/>
                      </w:rPr>
                      <w:t>shnan</w:t>
                    </w:r>
                  </w:p>
                </w:txbxContent>
              </v:textbox>
            </v:shape>
            <w10:wrap type="none"/>
            <w10:anchorlock/>
          </v:group>
        </w:pict>
      </w:r>
    </w:p>
    <w:p w14:paraId="11CCAE42">
      <w:pPr>
        <w:pStyle w:val="7"/>
        <w:spacing w:before="204" w:line="219" w:lineRule="auto"/>
        <w:ind w:left="2642"/>
        <w:rPr>
          <w:rFonts w:ascii="黑体" w:hAnsi="黑体" w:eastAsia="黑体" w:cs="黑体"/>
        </w:rPr>
      </w:pPr>
      <w:r>
        <w:rPr>
          <w:b/>
          <w:bCs/>
          <w:spacing w:val="3"/>
        </w:rPr>
        <w:t>图</w:t>
      </w:r>
      <w:r>
        <w:rPr>
          <w:spacing w:val="-42"/>
        </w:rPr>
        <w:t xml:space="preserve"> </w:t>
      </w:r>
      <w:r>
        <w:rPr>
          <w:rFonts w:ascii="黑体" w:hAnsi="黑体" w:eastAsia="黑体" w:cs="黑体"/>
          <w:spacing w:val="3"/>
        </w:rPr>
        <w:t>3-2</w:t>
      </w:r>
      <w:r>
        <w:rPr>
          <w:rFonts w:ascii="黑体" w:hAnsi="黑体" w:eastAsia="黑体" w:cs="黑体"/>
          <w:spacing w:val="19"/>
        </w:rPr>
        <w:t xml:space="preserve">   </w:t>
      </w:r>
      <w:r>
        <w:rPr>
          <w:rFonts w:ascii="黑体" w:hAnsi="黑体" w:eastAsia="黑体" w:cs="黑体"/>
          <w:spacing w:val="3"/>
        </w:rPr>
        <w:t>奋进科技日线</w:t>
      </w:r>
    </w:p>
    <w:p w14:paraId="673A2985">
      <w:pPr>
        <w:spacing w:line="267" w:lineRule="auto"/>
        <w:rPr>
          <w:rFonts w:ascii="Arial"/>
          <w:sz w:val="21"/>
        </w:rPr>
      </w:pPr>
    </w:p>
    <w:p w14:paraId="6E2C272D">
      <w:pPr>
        <w:spacing w:before="71" w:line="225" w:lineRule="auto"/>
        <w:ind w:left="439"/>
        <w:rPr>
          <w:rFonts w:ascii="KaiTi" w:hAnsi="KaiTi" w:eastAsia="KaiTi" w:cs="KaiTi"/>
          <w:sz w:val="22"/>
          <w:szCs w:val="22"/>
        </w:rPr>
      </w:pPr>
      <w:r>
        <w:rPr>
          <w:rFonts w:ascii="KaiTi" w:hAnsi="KaiTi" w:eastAsia="KaiTi" w:cs="KaiTi"/>
          <w:spacing w:val="-3"/>
          <w:sz w:val="22"/>
          <w:szCs w:val="22"/>
        </w:rPr>
        <w:t>(二)中青宝</w:t>
      </w:r>
    </w:p>
    <w:p w14:paraId="49026832">
      <w:pPr>
        <w:pStyle w:val="7"/>
        <w:spacing w:before="113" w:line="219" w:lineRule="auto"/>
        <w:ind w:left="439"/>
        <w:rPr>
          <w:sz w:val="22"/>
          <w:szCs w:val="22"/>
        </w:rPr>
      </w:pPr>
      <w:r>
        <w:rPr>
          <w:spacing w:val="-6"/>
          <w:sz w:val="22"/>
          <w:szCs w:val="22"/>
        </w:rPr>
        <w:t>下面是中青宝周线(见图3—3)与日线(见图3—4)。</w:t>
      </w:r>
    </w:p>
    <w:p w14:paraId="1C462B15">
      <w:pPr>
        <w:spacing w:line="301" w:lineRule="auto"/>
        <w:rPr>
          <w:rFonts w:ascii="Arial"/>
          <w:sz w:val="21"/>
        </w:rPr>
      </w:pPr>
    </w:p>
    <w:p w14:paraId="1880CF50">
      <w:pPr>
        <w:spacing w:before="43" w:line="188" w:lineRule="auto"/>
        <w:ind w:left="4350"/>
        <w:rPr>
          <w:rFonts w:ascii="Times New Roman" w:hAnsi="Times New Roman" w:eastAsia="Times New Roman" w:cs="Times New Roman"/>
          <w:sz w:val="15"/>
          <w:szCs w:val="15"/>
        </w:rPr>
      </w:pPr>
      <w:r>
        <w:drawing>
          <wp:anchor distT="0" distB="0" distL="0" distR="0" simplePos="0" relativeHeight="251693056" behindDoc="1" locked="0" layoutInCell="1" allowOverlap="1">
            <wp:simplePos x="0" y="0"/>
            <wp:positionH relativeFrom="column">
              <wp:posOffset>12065</wp:posOffset>
            </wp:positionH>
            <wp:positionV relativeFrom="paragraph">
              <wp:posOffset>-51435</wp:posOffset>
            </wp:positionV>
            <wp:extent cx="4451350" cy="2197100"/>
            <wp:effectExtent l="0" t="0" r="0" b="0"/>
            <wp:wrapNone/>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608"/>
                    <a:stretch>
                      <a:fillRect/>
                    </a:stretch>
                  </pic:blipFill>
                  <pic:spPr>
                    <a:xfrm>
                      <a:off x="0" y="0"/>
                      <a:ext cx="4451317" cy="2197082"/>
                    </a:xfrm>
                    <a:prstGeom prst="rect">
                      <a:avLst/>
                    </a:prstGeom>
                  </pic:spPr>
                </pic:pic>
              </a:graphicData>
            </a:graphic>
          </wp:anchor>
        </w:drawing>
      </w:r>
      <w:r>
        <w:rPr>
          <w:rFonts w:ascii="Times New Roman" w:hAnsi="Times New Roman" w:eastAsia="Times New Roman" w:cs="Times New Roman"/>
          <w:spacing w:val="-3"/>
          <w:sz w:val="15"/>
          <w:szCs w:val="15"/>
        </w:rPr>
        <w:t>131.36</w:t>
      </w:r>
    </w:p>
    <w:p w14:paraId="44FA65BE">
      <w:pPr>
        <w:spacing w:line="305" w:lineRule="auto"/>
        <w:rPr>
          <w:rFonts w:ascii="Arial"/>
          <w:sz w:val="21"/>
        </w:rPr>
      </w:pPr>
    </w:p>
    <w:p w14:paraId="3DBF7706">
      <w:pPr>
        <w:spacing w:line="305" w:lineRule="auto"/>
        <w:rPr>
          <w:rFonts w:ascii="Arial"/>
          <w:sz w:val="21"/>
        </w:rPr>
      </w:pPr>
    </w:p>
    <w:p w14:paraId="3320CDB6">
      <w:pPr>
        <w:spacing w:line="306" w:lineRule="auto"/>
        <w:rPr>
          <w:rFonts w:ascii="Arial"/>
          <w:sz w:val="21"/>
        </w:rPr>
      </w:pPr>
    </w:p>
    <w:p w14:paraId="29AE9B08">
      <w:pPr>
        <w:spacing w:before="46" w:line="188" w:lineRule="auto"/>
        <w:ind w:left="2949"/>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25.10</w:t>
      </w:r>
    </w:p>
    <w:p w14:paraId="675103F4">
      <w:pPr>
        <w:pStyle w:val="7"/>
        <w:spacing w:before="174" w:line="219" w:lineRule="auto"/>
        <w:ind w:left="4019"/>
        <w:rPr>
          <w:sz w:val="15"/>
          <w:szCs w:val="15"/>
        </w:rPr>
      </w:pPr>
      <w:r>
        <w:rPr>
          <w:spacing w:val="21"/>
          <w:sz w:val="15"/>
          <w:szCs w:val="15"/>
        </w:rPr>
        <w:t>10周线与30周线发散</w:t>
      </w:r>
    </w:p>
    <w:p w14:paraId="6D0B54ED">
      <w:pPr>
        <w:spacing w:before="23" w:line="188" w:lineRule="auto"/>
        <w:ind w:left="2350"/>
        <w:rPr>
          <w:rFonts w:ascii="Times New Roman" w:hAnsi="Times New Roman" w:eastAsia="Times New Roman" w:cs="Times New Roman"/>
          <w:sz w:val="19"/>
          <w:szCs w:val="19"/>
        </w:rPr>
      </w:pPr>
      <w:r>
        <w:rPr>
          <w:rFonts w:ascii="Times New Roman" w:hAnsi="Times New Roman" w:eastAsia="Times New Roman" w:cs="Times New Roman"/>
          <w:spacing w:val="-4"/>
          <w:sz w:val="19"/>
          <w:szCs w:val="19"/>
        </w:rPr>
        <w:t>11.45</w:t>
      </w:r>
    </w:p>
    <w:p w14:paraId="22EA4CBE">
      <w:pPr>
        <w:pStyle w:val="7"/>
        <w:spacing w:before="208" w:line="220" w:lineRule="auto"/>
        <w:ind w:left="2469"/>
        <w:rPr>
          <w:sz w:val="13"/>
          <w:szCs w:val="13"/>
        </w:rPr>
      </w:pPr>
      <w:r>
        <w:rPr>
          <w:spacing w:val="15"/>
          <w:sz w:val="13"/>
          <w:szCs w:val="13"/>
        </w:rPr>
        <w:t>站上70买点现</w:t>
      </w:r>
    </w:p>
    <w:p w14:paraId="1B4BF1A0">
      <w:pPr>
        <w:spacing w:line="256" w:lineRule="auto"/>
        <w:rPr>
          <w:rFonts w:ascii="Arial"/>
          <w:sz w:val="21"/>
        </w:rPr>
      </w:pPr>
    </w:p>
    <w:p w14:paraId="4DFFBBE1">
      <w:pPr>
        <w:spacing w:line="257" w:lineRule="auto"/>
        <w:rPr>
          <w:rFonts w:ascii="Arial"/>
          <w:sz w:val="21"/>
        </w:rPr>
      </w:pPr>
    </w:p>
    <w:p w14:paraId="01248197">
      <w:pPr>
        <w:spacing w:line="257" w:lineRule="auto"/>
        <w:rPr>
          <w:rFonts w:ascii="Arial"/>
          <w:sz w:val="21"/>
        </w:rPr>
      </w:pPr>
    </w:p>
    <w:p w14:paraId="7188ECDC">
      <w:pPr>
        <w:spacing w:line="257" w:lineRule="auto"/>
        <w:rPr>
          <w:rFonts w:ascii="Arial"/>
          <w:sz w:val="21"/>
        </w:rPr>
      </w:pPr>
    </w:p>
    <w:p w14:paraId="0249BF26">
      <w:pPr>
        <w:spacing w:line="257" w:lineRule="auto"/>
        <w:rPr>
          <w:rFonts w:ascii="Arial"/>
          <w:sz w:val="21"/>
        </w:rPr>
      </w:pPr>
    </w:p>
    <w:p w14:paraId="505CE69C">
      <w:pPr>
        <w:spacing w:before="62" w:line="219" w:lineRule="auto"/>
        <w:ind w:left="2700"/>
        <w:rPr>
          <w:rFonts w:ascii="黑体" w:hAnsi="黑体" w:eastAsia="黑体" w:cs="黑体"/>
          <w:sz w:val="19"/>
          <w:szCs w:val="19"/>
        </w:rPr>
      </w:pPr>
      <w:r>
        <w:rPr>
          <w:rFonts w:ascii="黑体" w:hAnsi="黑体" w:eastAsia="黑体" w:cs="黑体"/>
          <w:spacing w:val="-9"/>
          <w:sz w:val="19"/>
          <w:szCs w:val="19"/>
        </w:rPr>
        <w:t>图</w:t>
      </w:r>
      <w:r>
        <w:rPr>
          <w:rFonts w:ascii="黑体" w:hAnsi="黑体" w:eastAsia="黑体" w:cs="黑体"/>
          <w:spacing w:val="-44"/>
          <w:sz w:val="19"/>
          <w:szCs w:val="19"/>
        </w:rPr>
        <w:t xml:space="preserve"> </w:t>
      </w:r>
      <w:r>
        <w:rPr>
          <w:rFonts w:ascii="黑体" w:hAnsi="黑体" w:eastAsia="黑体" w:cs="黑体"/>
          <w:spacing w:val="-9"/>
          <w:sz w:val="19"/>
          <w:szCs w:val="19"/>
        </w:rPr>
        <w:t>3</w:t>
      </w:r>
      <w:r>
        <w:rPr>
          <w:rFonts w:ascii="黑体" w:hAnsi="黑体" w:eastAsia="黑体" w:cs="黑体"/>
          <w:spacing w:val="-47"/>
          <w:sz w:val="19"/>
          <w:szCs w:val="19"/>
        </w:rPr>
        <w:t xml:space="preserve"> </w:t>
      </w:r>
      <w:r>
        <w:rPr>
          <w:rFonts w:ascii="黑体" w:hAnsi="黑体" w:eastAsia="黑体" w:cs="黑体"/>
          <w:spacing w:val="-9"/>
          <w:sz w:val="19"/>
          <w:szCs w:val="19"/>
        </w:rPr>
        <w:t>-</w:t>
      </w:r>
      <w:r>
        <w:rPr>
          <w:rFonts w:ascii="黑体" w:hAnsi="黑体" w:eastAsia="黑体" w:cs="黑体"/>
          <w:spacing w:val="-43"/>
          <w:sz w:val="19"/>
          <w:szCs w:val="19"/>
        </w:rPr>
        <w:t xml:space="preserve"> </w:t>
      </w:r>
      <w:r>
        <w:rPr>
          <w:rFonts w:ascii="黑体" w:hAnsi="黑体" w:eastAsia="黑体" w:cs="黑体"/>
          <w:spacing w:val="-9"/>
          <w:sz w:val="19"/>
          <w:szCs w:val="19"/>
        </w:rPr>
        <w:t>3  中青宝周线</w:t>
      </w:r>
    </w:p>
    <w:p w14:paraId="09791482">
      <w:pPr>
        <w:spacing w:line="219" w:lineRule="auto"/>
        <w:rPr>
          <w:rFonts w:ascii="黑体" w:hAnsi="黑体" w:eastAsia="黑体" w:cs="黑体"/>
          <w:sz w:val="19"/>
          <w:szCs w:val="19"/>
        </w:rPr>
        <w:sectPr>
          <w:pgSz w:w="8770" w:h="13360"/>
          <w:pgMar w:top="962" w:right="600" w:bottom="695" w:left="1110" w:header="701" w:footer="533" w:gutter="0"/>
          <w:cols w:space="720" w:num="1"/>
        </w:sectPr>
      </w:pPr>
    </w:p>
    <w:p w14:paraId="00D944C5">
      <w:pPr>
        <w:spacing w:before="285" w:line="222" w:lineRule="auto"/>
        <w:ind w:left="5579"/>
        <w:rPr>
          <w:rFonts w:ascii="FangSong" w:hAnsi="FangSong" w:eastAsia="FangSong" w:cs="FangSong"/>
          <w:sz w:val="17"/>
          <w:szCs w:val="17"/>
        </w:rPr>
      </w:pPr>
      <w:r>
        <w:rPr>
          <w:rFonts w:ascii="FangSong" w:hAnsi="FangSong" w:eastAsia="FangSong" w:cs="FangSong"/>
          <w:spacing w:val="12"/>
          <w:sz w:val="17"/>
          <w:szCs w:val="17"/>
        </w:rPr>
        <w:t>第三章</w:t>
      </w:r>
      <w:r>
        <w:rPr>
          <w:rFonts w:ascii="FangSong" w:hAnsi="FangSong" w:eastAsia="FangSong" w:cs="FangSong"/>
          <w:spacing w:val="61"/>
          <w:sz w:val="17"/>
          <w:szCs w:val="17"/>
        </w:rPr>
        <w:t xml:space="preserve"> </w:t>
      </w:r>
      <w:r>
        <w:rPr>
          <w:rFonts w:ascii="FangSong" w:hAnsi="FangSong" w:eastAsia="FangSong" w:cs="FangSong"/>
          <w:spacing w:val="12"/>
          <w:sz w:val="17"/>
          <w:szCs w:val="17"/>
        </w:rPr>
        <w:t>趋势战法</w:t>
      </w:r>
    </w:p>
    <w:p w14:paraId="4CDDFFF2">
      <w:pPr>
        <w:spacing w:line="277" w:lineRule="auto"/>
        <w:rPr>
          <w:rFonts w:ascii="Arial"/>
          <w:sz w:val="21"/>
        </w:rPr>
      </w:pPr>
    </w:p>
    <w:p w14:paraId="058EB7C9">
      <w:pPr>
        <w:spacing w:line="277" w:lineRule="auto"/>
        <w:rPr>
          <w:rFonts w:ascii="Arial"/>
          <w:sz w:val="21"/>
        </w:rPr>
      </w:pPr>
    </w:p>
    <w:p w14:paraId="51AA14D7">
      <w:pPr>
        <w:spacing w:line="278" w:lineRule="auto"/>
        <w:rPr>
          <w:rFonts w:ascii="Arial"/>
          <w:sz w:val="21"/>
        </w:rPr>
      </w:pPr>
    </w:p>
    <w:p w14:paraId="486D52A8">
      <w:pPr>
        <w:spacing w:line="278" w:lineRule="auto"/>
        <w:rPr>
          <w:rFonts w:ascii="Arial"/>
          <w:sz w:val="21"/>
        </w:rPr>
      </w:pPr>
    </w:p>
    <w:p w14:paraId="66F3E826">
      <w:pPr>
        <w:spacing w:line="278" w:lineRule="auto"/>
        <w:rPr>
          <w:rFonts w:ascii="Arial"/>
          <w:sz w:val="21"/>
        </w:rPr>
      </w:pPr>
    </w:p>
    <w:p w14:paraId="432EA4E7">
      <w:pPr>
        <w:pStyle w:val="7"/>
        <w:spacing w:before="36" w:line="273" w:lineRule="auto"/>
        <w:ind w:left="4999" w:right="1231"/>
        <w:rPr>
          <w:sz w:val="11"/>
          <w:szCs w:val="11"/>
        </w:rPr>
      </w:pPr>
      <w:r>
        <w:pict>
          <v:shape id="_x0000_s1168" o:spid="_x0000_s1168" o:spt="202" type="#_x0000_t202" style="position:absolute;left:0pt;margin-left:175pt;margin-top:4.85pt;height:18.05pt;width:38.45pt;z-index:251695104;mso-width-relative:page;mso-height-relative:page;" filled="f" stroked="f" coordsize="21600,21600">
            <v:path/>
            <v:fill on="f" focussize="0,0"/>
            <v:stroke on="f"/>
            <v:imagedata o:title=""/>
            <o:lock v:ext="edit" aspectratio="f"/>
            <v:textbox inset="0mm,0mm,0mm,0mm">
              <w:txbxContent>
                <w:p w14:paraId="7A26014B">
                  <w:pPr>
                    <w:pStyle w:val="7"/>
                    <w:spacing w:before="20" w:line="262" w:lineRule="auto"/>
                    <w:ind w:left="20" w:right="20"/>
                    <w:rPr>
                      <w:sz w:val="11"/>
                      <w:szCs w:val="11"/>
                    </w:rPr>
                  </w:pPr>
                  <w:r>
                    <w:rPr>
                      <w:spacing w:val="-9"/>
                      <w:sz w:val="13"/>
                      <w:szCs w:val="13"/>
                    </w:rPr>
                    <w:t>股价创新低后</w:t>
                  </w:r>
                  <w:r>
                    <w:rPr>
                      <w:spacing w:val="1"/>
                      <w:sz w:val="13"/>
                      <w:szCs w:val="13"/>
                    </w:rPr>
                    <w:t xml:space="preserve"> </w:t>
                  </w:r>
                  <w:r>
                    <w:rPr>
                      <w:spacing w:val="10"/>
                      <w:sz w:val="11"/>
                      <w:szCs w:val="11"/>
                    </w:rPr>
                    <w:t>整理了半年</w:t>
                  </w:r>
                </w:p>
              </w:txbxContent>
            </v:textbox>
          </v:shape>
        </w:pict>
      </w:r>
      <w:r>
        <w:drawing>
          <wp:anchor distT="0" distB="0" distL="0" distR="0" simplePos="0" relativeHeight="251694080" behindDoc="1" locked="0" layoutInCell="1" allowOverlap="1">
            <wp:simplePos x="0" y="0"/>
            <wp:positionH relativeFrom="column">
              <wp:posOffset>0</wp:posOffset>
            </wp:positionH>
            <wp:positionV relativeFrom="paragraph">
              <wp:posOffset>-493395</wp:posOffset>
            </wp:positionV>
            <wp:extent cx="4432300" cy="2616200"/>
            <wp:effectExtent l="0" t="0" r="0" b="0"/>
            <wp:wrapNone/>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609"/>
                    <a:stretch>
                      <a:fillRect/>
                    </a:stretch>
                  </pic:blipFill>
                  <pic:spPr>
                    <a:xfrm>
                      <a:off x="0" y="0"/>
                      <a:ext cx="4432316" cy="2616237"/>
                    </a:xfrm>
                    <a:prstGeom prst="rect">
                      <a:avLst/>
                    </a:prstGeom>
                  </pic:spPr>
                </pic:pic>
              </a:graphicData>
            </a:graphic>
          </wp:anchor>
        </w:drawing>
      </w:r>
      <w:r>
        <w:rPr>
          <w:spacing w:val="14"/>
          <w:sz w:val="11"/>
          <w:szCs w:val="11"/>
        </w:rPr>
        <w:t>突破时实际价格</w:t>
      </w:r>
      <w:r>
        <w:rPr>
          <w:spacing w:val="5"/>
          <w:sz w:val="11"/>
          <w:szCs w:val="11"/>
        </w:rPr>
        <w:t xml:space="preserve"> </w:t>
      </w:r>
      <w:r>
        <w:rPr>
          <w:spacing w:val="13"/>
          <w:sz w:val="11"/>
          <w:szCs w:val="11"/>
        </w:rPr>
        <w:t>15元左右</w:t>
      </w:r>
    </w:p>
    <w:p w14:paraId="52806AE3">
      <w:pPr>
        <w:pStyle w:val="7"/>
        <w:spacing w:before="145" w:line="221" w:lineRule="auto"/>
        <w:ind w:left="4431"/>
        <w:rPr>
          <w:sz w:val="13"/>
          <w:szCs w:val="13"/>
        </w:rPr>
      </w:pPr>
      <w:r>
        <w:rPr>
          <w:b/>
          <w:bCs/>
          <w:spacing w:val="-7"/>
          <w:sz w:val="13"/>
          <w:szCs w:val="13"/>
        </w:rPr>
        <w:t>放量突破</w:t>
      </w:r>
      <w:r>
        <w:rPr>
          <w:spacing w:val="-7"/>
          <w:sz w:val="13"/>
          <w:szCs w:val="13"/>
        </w:rPr>
        <w:t>平台</w:t>
      </w:r>
    </w:p>
    <w:p w14:paraId="3EE6B1FD">
      <w:pPr>
        <w:spacing w:line="450" w:lineRule="auto"/>
        <w:rPr>
          <w:rFonts w:ascii="Arial"/>
          <w:sz w:val="21"/>
        </w:rPr>
      </w:pPr>
    </w:p>
    <w:p w14:paraId="1C9053E3">
      <w:pPr>
        <w:pStyle w:val="7"/>
        <w:spacing w:before="42" w:line="284" w:lineRule="auto"/>
        <w:ind w:left="4229" w:right="1216" w:firstLine="950"/>
        <w:rPr>
          <w:sz w:val="13"/>
          <w:szCs w:val="13"/>
        </w:rPr>
      </w:pPr>
      <w:r>
        <w:pict>
          <v:shape id="_x0000_s1169" o:spid="_x0000_s1169" o:spt="202" type="#_x0000_t202" style="position:absolute;left:0pt;margin-left:137pt;margin-top:4pt;height:7pt;width:15.6pt;z-index:251696128;mso-width-relative:page;mso-height-relative:page;" filled="f" stroked="f" coordsize="21600,21600">
            <v:path/>
            <v:fill on="f" focussize="0,0"/>
            <v:stroke on="f"/>
            <v:imagedata o:title=""/>
            <o:lock v:ext="edit" aspectratio="f"/>
            <v:textbox inset="0mm,0mm,0mm,0mm">
              <w:txbxContent>
                <w:p w14:paraId="74B8A4F7">
                  <w:pPr>
                    <w:spacing w:before="20" w:line="188" w:lineRule="auto"/>
                    <w:ind w:left="20"/>
                    <w:rPr>
                      <w:rFonts w:ascii="Times New Roman" w:hAnsi="Times New Roman" w:eastAsia="Times New Roman" w:cs="Times New Roman"/>
                      <w:sz w:val="11"/>
                      <w:szCs w:val="11"/>
                    </w:rPr>
                  </w:pPr>
                  <w:r>
                    <w:rPr>
                      <w:rFonts w:ascii="Times New Roman" w:hAnsi="Times New Roman" w:eastAsia="Times New Roman" w:cs="Times New Roman"/>
                      <w:spacing w:val="-3"/>
                      <w:sz w:val="11"/>
                      <w:szCs w:val="11"/>
                    </w:rPr>
                    <w:t>11.45-</w:t>
                  </w:r>
                </w:p>
              </w:txbxContent>
            </v:textbox>
          </v:shape>
        </w:pict>
      </w:r>
      <w:r>
        <w:rPr>
          <w:spacing w:val="-1"/>
          <w:sz w:val="13"/>
          <w:szCs w:val="13"/>
        </w:rPr>
        <w:t>重上200日线</w:t>
      </w:r>
      <w:r>
        <w:rPr>
          <w:sz w:val="13"/>
          <w:szCs w:val="13"/>
        </w:rPr>
        <w:t xml:space="preserve"> </w:t>
      </w:r>
      <w:r>
        <w:rPr>
          <w:spacing w:val="-2"/>
          <w:sz w:val="13"/>
          <w:szCs w:val="13"/>
        </w:rPr>
        <w:t>突破70后在</w:t>
      </w:r>
    </w:p>
    <w:p w14:paraId="3661C5A6">
      <w:pPr>
        <w:pStyle w:val="7"/>
        <w:spacing w:line="219" w:lineRule="auto"/>
        <w:ind w:left="4209"/>
        <w:rPr>
          <w:sz w:val="13"/>
          <w:szCs w:val="13"/>
        </w:rPr>
      </w:pPr>
      <w:r>
        <w:rPr>
          <w:spacing w:val="-11"/>
          <w:sz w:val="13"/>
          <w:szCs w:val="13"/>
        </w:rPr>
        <w:t>强势区整理[</w:t>
      </w:r>
    </w:p>
    <w:p w14:paraId="62E7DE7A">
      <w:pPr>
        <w:spacing w:line="243" w:lineRule="auto"/>
        <w:rPr>
          <w:rFonts w:ascii="Arial"/>
          <w:sz w:val="21"/>
        </w:rPr>
      </w:pPr>
    </w:p>
    <w:p w14:paraId="12A30E0A">
      <w:pPr>
        <w:spacing w:line="243" w:lineRule="auto"/>
        <w:rPr>
          <w:rFonts w:ascii="Arial"/>
          <w:sz w:val="21"/>
        </w:rPr>
      </w:pPr>
    </w:p>
    <w:p w14:paraId="798CBA98">
      <w:pPr>
        <w:spacing w:line="243" w:lineRule="auto"/>
        <w:rPr>
          <w:rFonts w:ascii="Arial"/>
          <w:sz w:val="21"/>
        </w:rPr>
      </w:pPr>
    </w:p>
    <w:p w14:paraId="02F2E5B7">
      <w:pPr>
        <w:spacing w:line="243" w:lineRule="auto"/>
        <w:rPr>
          <w:rFonts w:ascii="Arial"/>
          <w:sz w:val="21"/>
        </w:rPr>
      </w:pPr>
    </w:p>
    <w:p w14:paraId="39FD18D0">
      <w:pPr>
        <w:spacing w:line="243" w:lineRule="auto"/>
        <w:rPr>
          <w:rFonts w:ascii="Arial"/>
          <w:sz w:val="21"/>
        </w:rPr>
      </w:pPr>
    </w:p>
    <w:p w14:paraId="72363FF3">
      <w:pPr>
        <w:spacing w:line="244" w:lineRule="auto"/>
        <w:rPr>
          <w:rFonts w:ascii="Arial"/>
          <w:sz w:val="21"/>
        </w:rPr>
      </w:pPr>
    </w:p>
    <w:p w14:paraId="45C4724B">
      <w:pPr>
        <w:spacing w:line="244" w:lineRule="auto"/>
        <w:rPr>
          <w:rFonts w:ascii="Arial"/>
          <w:sz w:val="21"/>
        </w:rPr>
      </w:pPr>
    </w:p>
    <w:p w14:paraId="13E79C3F">
      <w:pPr>
        <w:spacing w:before="62" w:line="219" w:lineRule="auto"/>
        <w:ind w:left="2710"/>
        <w:rPr>
          <w:rFonts w:ascii="黑体" w:hAnsi="黑体" w:eastAsia="黑体" w:cs="黑体"/>
          <w:sz w:val="19"/>
          <w:szCs w:val="19"/>
        </w:rPr>
      </w:pPr>
      <w:r>
        <w:rPr>
          <w:rFonts w:ascii="黑体" w:hAnsi="黑体" w:eastAsia="黑体" w:cs="黑体"/>
          <w:spacing w:val="-5"/>
          <w:sz w:val="19"/>
          <w:szCs w:val="19"/>
        </w:rPr>
        <w:t>图3</w:t>
      </w:r>
      <w:r>
        <w:rPr>
          <w:rFonts w:ascii="黑体" w:hAnsi="黑体" w:eastAsia="黑体" w:cs="黑体"/>
          <w:spacing w:val="-46"/>
          <w:sz w:val="19"/>
          <w:szCs w:val="19"/>
        </w:rPr>
        <w:t xml:space="preserve"> </w:t>
      </w:r>
      <w:r>
        <w:rPr>
          <w:rFonts w:ascii="黑体" w:hAnsi="黑体" w:eastAsia="黑体" w:cs="黑体"/>
          <w:spacing w:val="-5"/>
          <w:sz w:val="19"/>
          <w:szCs w:val="19"/>
        </w:rPr>
        <w:t>-</w:t>
      </w:r>
      <w:r>
        <w:rPr>
          <w:rFonts w:ascii="黑体" w:hAnsi="黑体" w:eastAsia="黑体" w:cs="黑体"/>
          <w:spacing w:val="-53"/>
          <w:sz w:val="19"/>
          <w:szCs w:val="19"/>
        </w:rPr>
        <w:t xml:space="preserve"> </w:t>
      </w:r>
      <w:r>
        <w:rPr>
          <w:rFonts w:ascii="黑体" w:hAnsi="黑体" w:eastAsia="黑体" w:cs="黑体"/>
          <w:spacing w:val="-5"/>
          <w:sz w:val="19"/>
          <w:szCs w:val="19"/>
        </w:rPr>
        <w:t>4</w:t>
      </w:r>
      <w:r>
        <w:rPr>
          <w:rFonts w:ascii="黑体" w:hAnsi="黑体" w:eastAsia="黑体" w:cs="黑体"/>
          <w:spacing w:val="81"/>
          <w:sz w:val="19"/>
          <w:szCs w:val="19"/>
        </w:rPr>
        <w:t xml:space="preserve"> </w:t>
      </w:r>
      <w:r>
        <w:rPr>
          <w:rFonts w:ascii="黑体" w:hAnsi="黑体" w:eastAsia="黑体" w:cs="黑体"/>
          <w:spacing w:val="-5"/>
          <w:sz w:val="19"/>
          <w:szCs w:val="19"/>
        </w:rPr>
        <w:t>中青宝日线</w:t>
      </w:r>
    </w:p>
    <w:p w14:paraId="1D89A1A8">
      <w:pPr>
        <w:spacing w:line="302" w:lineRule="auto"/>
        <w:rPr>
          <w:rFonts w:ascii="Arial"/>
          <w:sz w:val="21"/>
        </w:rPr>
      </w:pPr>
    </w:p>
    <w:p w14:paraId="62E3E7B2">
      <w:pPr>
        <w:spacing w:before="72" w:line="225" w:lineRule="auto"/>
        <w:ind w:left="439"/>
        <w:rPr>
          <w:rFonts w:ascii="KaiTi" w:hAnsi="KaiTi" w:eastAsia="KaiTi" w:cs="KaiTi"/>
          <w:sz w:val="22"/>
          <w:szCs w:val="22"/>
        </w:rPr>
      </w:pPr>
      <w:r>
        <w:rPr>
          <w:rFonts w:ascii="KaiTi" w:hAnsi="KaiTi" w:eastAsia="KaiTi" w:cs="KaiTi"/>
          <w:spacing w:val="-6"/>
          <w:sz w:val="22"/>
          <w:szCs w:val="22"/>
        </w:rPr>
        <w:t>(三)上海钢联</w:t>
      </w:r>
    </w:p>
    <w:p w14:paraId="6D357AE6">
      <w:pPr>
        <w:pStyle w:val="7"/>
        <w:spacing w:before="95" w:line="219" w:lineRule="auto"/>
        <w:ind w:left="409"/>
        <w:rPr>
          <w:sz w:val="22"/>
          <w:szCs w:val="22"/>
        </w:rPr>
      </w:pPr>
      <w:r>
        <w:rPr>
          <w:spacing w:val="-3"/>
          <w:sz w:val="22"/>
          <w:szCs w:val="22"/>
        </w:rPr>
        <w:t>下面是上海钢联周线(见图3-5)与日线(见图3—6)。</w:t>
      </w:r>
    </w:p>
    <w:p w14:paraId="02E78096">
      <w:pPr>
        <w:pStyle w:val="7"/>
        <w:spacing w:before="230" w:line="4200" w:lineRule="exact"/>
        <w:ind w:firstLine="40"/>
      </w:pPr>
      <w:r>
        <w:rPr>
          <w:position w:val="-83"/>
        </w:rPr>
        <w:pict>
          <v:group id="_x0000_s1170" o:spid="_x0000_s1170" o:spt="203" style="height:210pt;width:348.85pt;" coordsize="6977,4200">
            <o:lock v:ext="edit"/>
            <v:shape id="_x0000_s1171" o:spid="_x0000_s1171" o:spt="75" type="#_x0000_t75" style="position:absolute;left:0;top:0;height:4200;width:6970;" filled="f" stroked="f" coordsize="21600,21600">
              <v:path/>
              <v:fill on="f" focussize="0,0"/>
              <v:stroke on="f"/>
              <v:imagedata r:id="rId610" o:title=""/>
              <o:lock v:ext="edit" aspectratio="t"/>
            </v:shape>
            <v:shape id="_x0000_s1172" o:spid="_x0000_s1172" o:spt="202" type="#_x0000_t202" style="position:absolute;left:2029;top:205;height:2461;width:4387;" filled="f" stroked="f" coordsize="21600,21600">
              <v:path/>
              <v:fill on="f" focussize="0,0"/>
              <v:stroke on="f"/>
              <v:imagedata o:title=""/>
              <o:lock v:ext="edit" aspectratio="f"/>
              <v:textbox inset="0mm,0mm,0mm,0mm">
                <w:txbxContent>
                  <w:p w14:paraId="4AEF6567">
                    <w:pPr>
                      <w:spacing w:before="19" w:line="239" w:lineRule="auto"/>
                      <w:ind w:right="20"/>
                      <w:jc w:val="right"/>
                      <w:rPr>
                        <w:rFonts w:ascii="宋体" w:hAnsi="宋体" w:eastAsia="宋体" w:cs="宋体"/>
                        <w:sz w:val="11"/>
                        <w:szCs w:val="11"/>
                      </w:rPr>
                    </w:pPr>
                    <w:r>
                      <w:rPr>
                        <w:rFonts w:ascii="宋体" w:hAnsi="宋体" w:eastAsia="宋体" w:cs="宋体"/>
                        <w:spacing w:val="5"/>
                        <w:sz w:val="11"/>
                        <w:szCs w:val="11"/>
                      </w:rPr>
                      <w:t>357.94一</w:t>
                    </w:r>
                  </w:p>
                  <w:p w14:paraId="5FF1ECE6">
                    <w:pPr>
                      <w:spacing w:line="242" w:lineRule="auto"/>
                      <w:rPr>
                        <w:rFonts w:ascii="Arial"/>
                        <w:sz w:val="21"/>
                      </w:rPr>
                    </w:pPr>
                  </w:p>
                  <w:p w14:paraId="493065B7">
                    <w:pPr>
                      <w:spacing w:line="242" w:lineRule="auto"/>
                      <w:rPr>
                        <w:rFonts w:ascii="Arial"/>
                        <w:sz w:val="21"/>
                      </w:rPr>
                    </w:pPr>
                  </w:p>
                  <w:p w14:paraId="237ABE69">
                    <w:pPr>
                      <w:spacing w:line="243" w:lineRule="auto"/>
                      <w:rPr>
                        <w:rFonts w:ascii="Arial"/>
                        <w:sz w:val="21"/>
                      </w:rPr>
                    </w:pPr>
                  </w:p>
                  <w:p w14:paraId="0DEF5518">
                    <w:pPr>
                      <w:spacing w:line="243" w:lineRule="auto"/>
                      <w:rPr>
                        <w:rFonts w:ascii="Arial"/>
                        <w:sz w:val="21"/>
                      </w:rPr>
                    </w:pPr>
                  </w:p>
                  <w:p w14:paraId="26B845B1">
                    <w:pPr>
                      <w:spacing w:line="243" w:lineRule="auto"/>
                      <w:rPr>
                        <w:rFonts w:ascii="Arial"/>
                        <w:sz w:val="21"/>
                      </w:rPr>
                    </w:pPr>
                  </w:p>
                  <w:p w14:paraId="407FE8F1">
                    <w:pPr>
                      <w:spacing w:line="243" w:lineRule="auto"/>
                      <w:rPr>
                        <w:rFonts w:ascii="Arial"/>
                        <w:sz w:val="21"/>
                      </w:rPr>
                    </w:pPr>
                  </w:p>
                  <w:p w14:paraId="517E57AB">
                    <w:pPr>
                      <w:spacing w:before="42" w:line="219" w:lineRule="auto"/>
                      <w:ind w:left="1849"/>
                      <w:rPr>
                        <w:rFonts w:ascii="宋体" w:hAnsi="宋体" w:eastAsia="宋体" w:cs="宋体"/>
                        <w:sz w:val="13"/>
                        <w:szCs w:val="13"/>
                      </w:rPr>
                    </w:pPr>
                    <w:r>
                      <w:rPr>
                        <w:rFonts w:ascii="宋体" w:hAnsi="宋体" w:eastAsia="宋体" w:cs="宋体"/>
                        <w:spacing w:val="-4"/>
                        <w:sz w:val="13"/>
                        <w:szCs w:val="13"/>
                      </w:rPr>
                      <w:t>10周与30周线发散</w:t>
                    </w:r>
                  </w:p>
                  <w:p w14:paraId="32FA9E5F">
                    <w:pPr>
                      <w:spacing w:line="439" w:lineRule="auto"/>
                      <w:rPr>
                        <w:rFonts w:ascii="Arial"/>
                        <w:sz w:val="21"/>
                      </w:rPr>
                    </w:pPr>
                  </w:p>
                  <w:p w14:paraId="7887EACD">
                    <w:pPr>
                      <w:spacing w:before="43" w:line="222" w:lineRule="auto"/>
                      <w:ind w:left="20"/>
                      <w:rPr>
                        <w:rFonts w:ascii="黑体" w:hAnsi="黑体" w:eastAsia="黑体" w:cs="黑体"/>
                        <w:sz w:val="13"/>
                        <w:szCs w:val="13"/>
                      </w:rPr>
                    </w:pPr>
                    <w:r>
                      <w:rPr>
                        <w:rFonts w:ascii="黑体" w:hAnsi="黑体" w:eastAsia="黑体" w:cs="黑体"/>
                        <w:spacing w:val="7"/>
                        <w:sz w:val="13"/>
                        <w:szCs w:val="13"/>
                      </w:rPr>
                      <w:t>突破70买点现</w:t>
                    </w:r>
                  </w:p>
                </w:txbxContent>
              </v:textbox>
            </v:shape>
            <v:shape id="_x0000_s1173" o:spid="_x0000_s1173" o:spt="202" type="#_x0000_t202" style="position:absolute;left:6799;top:2972;height:96;width:287;" filled="f" stroked="f" coordsize="21600,21600">
              <v:path/>
              <v:fill on="f" focussize="0,0"/>
              <v:stroke on="f"/>
              <v:imagedata o:title=""/>
              <o:lock v:ext="edit" aspectratio="f"/>
              <v:textbox inset="0mm,0mm,0mm,0mm">
                <w:txbxContent>
                  <w:p w14:paraId="782287F8">
                    <w:pPr>
                      <w:spacing w:before="19" w:line="195" w:lineRule="auto"/>
                      <w:ind w:left="20"/>
                      <w:rPr>
                        <w:rFonts w:ascii="宋体" w:hAnsi="宋体" w:eastAsia="宋体" w:cs="宋体"/>
                        <w:sz w:val="18"/>
                        <w:szCs w:val="18"/>
                      </w:rPr>
                    </w:pPr>
                    <w:r>
                      <w:rPr>
                        <w:rFonts w:ascii="宋体" w:hAnsi="宋体" w:eastAsia="宋体" w:cs="宋体"/>
                        <w:spacing w:val="48"/>
                        <w:w w:val="110"/>
                        <w:sz w:val="18"/>
                        <w:szCs w:val="18"/>
                      </w:rPr>
                      <w:t>”</w:t>
                    </w:r>
                  </w:p>
                </w:txbxContent>
              </v:textbox>
            </v:shape>
            <w10:wrap type="none"/>
            <w10:anchorlock/>
          </v:group>
        </w:pict>
      </w:r>
    </w:p>
    <w:p w14:paraId="236CF824">
      <w:pPr>
        <w:pStyle w:val="7"/>
        <w:spacing w:before="185" w:line="219" w:lineRule="auto"/>
        <w:ind w:left="2660"/>
        <w:rPr>
          <w:rFonts w:ascii="黑体" w:hAnsi="黑体" w:eastAsia="黑体" w:cs="黑体"/>
          <w:sz w:val="18"/>
          <w:szCs w:val="18"/>
        </w:rPr>
      </w:pPr>
      <w:r>
        <w:rPr>
          <w:spacing w:val="-6"/>
          <w:sz w:val="18"/>
          <w:szCs w:val="18"/>
        </w:rPr>
        <w:t>图</w:t>
      </w:r>
      <w:r>
        <w:rPr>
          <w:spacing w:val="-21"/>
          <w:sz w:val="18"/>
          <w:szCs w:val="18"/>
        </w:rPr>
        <w:t xml:space="preserve"> </w:t>
      </w:r>
      <w:r>
        <w:rPr>
          <w:spacing w:val="-6"/>
          <w:sz w:val="18"/>
          <w:szCs w:val="18"/>
        </w:rPr>
        <w:t>3</w:t>
      </w:r>
      <w:r>
        <w:rPr>
          <w:spacing w:val="-36"/>
          <w:sz w:val="18"/>
          <w:szCs w:val="18"/>
        </w:rPr>
        <w:t xml:space="preserve"> </w:t>
      </w:r>
      <w:r>
        <w:rPr>
          <w:spacing w:val="-6"/>
          <w:sz w:val="18"/>
          <w:szCs w:val="18"/>
        </w:rPr>
        <w:t>-</w:t>
      </w:r>
      <w:r>
        <w:rPr>
          <w:spacing w:val="-31"/>
          <w:sz w:val="18"/>
          <w:szCs w:val="18"/>
        </w:rPr>
        <w:t xml:space="preserve"> </w:t>
      </w:r>
      <w:r>
        <w:rPr>
          <w:spacing w:val="-6"/>
          <w:sz w:val="18"/>
          <w:szCs w:val="18"/>
        </w:rPr>
        <w:t xml:space="preserve">5  </w:t>
      </w:r>
      <w:r>
        <w:rPr>
          <w:rFonts w:ascii="黑体" w:hAnsi="黑体" w:eastAsia="黑体" w:cs="黑体"/>
          <w:spacing w:val="-6"/>
          <w:sz w:val="18"/>
          <w:szCs w:val="18"/>
        </w:rPr>
        <w:t>上海钢联周线</w:t>
      </w:r>
    </w:p>
    <w:p w14:paraId="6709E1EC">
      <w:pPr>
        <w:spacing w:line="219" w:lineRule="auto"/>
        <w:rPr>
          <w:rFonts w:ascii="黑体" w:hAnsi="黑体" w:eastAsia="黑体" w:cs="黑体"/>
          <w:sz w:val="18"/>
          <w:szCs w:val="18"/>
        </w:rPr>
        <w:sectPr>
          <w:pgSz w:w="8740" w:h="13340"/>
          <w:pgMar w:top="400" w:right="1083" w:bottom="704" w:left="550" w:header="0" w:footer="543" w:gutter="0"/>
          <w:cols w:space="720" w:num="1"/>
        </w:sectPr>
      </w:pPr>
    </w:p>
    <w:p w14:paraId="2F6D41DB">
      <w:pPr>
        <w:spacing w:line="248" w:lineRule="auto"/>
        <w:rPr>
          <w:rFonts w:ascii="Arial"/>
          <w:sz w:val="21"/>
        </w:rPr>
      </w:pPr>
    </w:p>
    <w:p w14:paraId="11F42786">
      <w:pPr>
        <w:spacing w:line="248" w:lineRule="auto"/>
        <w:rPr>
          <w:rFonts w:ascii="Arial"/>
          <w:sz w:val="21"/>
        </w:rPr>
      </w:pPr>
    </w:p>
    <w:p w14:paraId="1329C807">
      <w:pPr>
        <w:spacing w:line="248" w:lineRule="auto"/>
        <w:rPr>
          <w:rFonts w:ascii="Arial"/>
          <w:sz w:val="21"/>
        </w:rPr>
      </w:pPr>
    </w:p>
    <w:p w14:paraId="2C55141C">
      <w:pPr>
        <w:spacing w:line="248" w:lineRule="auto"/>
        <w:rPr>
          <w:rFonts w:ascii="Arial"/>
          <w:sz w:val="21"/>
        </w:rPr>
      </w:pPr>
    </w:p>
    <w:p w14:paraId="400748D0">
      <w:pPr>
        <w:spacing w:line="248" w:lineRule="auto"/>
        <w:rPr>
          <w:rFonts w:ascii="Arial"/>
          <w:sz w:val="21"/>
        </w:rPr>
      </w:pPr>
    </w:p>
    <w:p w14:paraId="7005161C">
      <w:pPr>
        <w:spacing w:line="249" w:lineRule="auto"/>
        <w:rPr>
          <w:rFonts w:ascii="Arial"/>
          <w:sz w:val="21"/>
        </w:rPr>
      </w:pPr>
    </w:p>
    <w:p w14:paraId="7BDA6585">
      <w:pPr>
        <w:pStyle w:val="7"/>
        <w:spacing w:before="43" w:line="292" w:lineRule="auto"/>
        <w:ind w:left="5189" w:right="1009" w:hanging="9"/>
        <w:rPr>
          <w:sz w:val="11"/>
          <w:szCs w:val="11"/>
        </w:rPr>
      </w:pPr>
      <w:r>
        <w:pict>
          <v:shape id="_x0000_s1174" o:spid="_x0000_s1174" o:spt="202" type="#_x0000_t202" style="position:absolute;left:0pt;margin-left:200.5pt;margin-top:7.15pt;height:9.75pt;width:32.75pt;z-index:251698176;mso-width-relative:page;mso-height-relative:page;" filled="f" stroked="f" coordsize="21600,21600">
            <v:path/>
            <v:fill on="f" focussize="0,0"/>
            <v:stroke on="f"/>
            <v:imagedata o:title=""/>
            <o:lock v:ext="edit" aspectratio="f"/>
            <v:textbox inset="0mm,0mm,0mm,0mm">
              <w:txbxContent>
                <w:p w14:paraId="7ADFB08C">
                  <w:pPr>
                    <w:pStyle w:val="7"/>
                    <w:spacing w:before="20" w:line="219" w:lineRule="auto"/>
                    <w:ind w:left="20"/>
                    <w:rPr>
                      <w:sz w:val="13"/>
                      <w:szCs w:val="13"/>
                    </w:rPr>
                  </w:pPr>
                  <w:r>
                    <w:rPr>
                      <w:spacing w:val="-6"/>
                      <w:sz w:val="13"/>
                      <w:szCs w:val="13"/>
                    </w:rPr>
                    <w:t>半年的整理</w:t>
                  </w:r>
                </w:p>
              </w:txbxContent>
            </v:textbox>
          </v:shape>
        </w:pict>
      </w:r>
      <w:r>
        <w:drawing>
          <wp:anchor distT="0" distB="0" distL="0" distR="0" simplePos="0" relativeHeight="251697152" behindDoc="1" locked="0" layoutInCell="1" allowOverlap="1">
            <wp:simplePos x="0" y="0"/>
            <wp:positionH relativeFrom="column">
              <wp:posOffset>43815</wp:posOffset>
            </wp:positionH>
            <wp:positionV relativeFrom="paragraph">
              <wp:posOffset>-546735</wp:posOffset>
            </wp:positionV>
            <wp:extent cx="4457700" cy="2667000"/>
            <wp:effectExtent l="0" t="0" r="0" b="0"/>
            <wp:wrapNone/>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611"/>
                    <a:stretch>
                      <a:fillRect/>
                    </a:stretch>
                  </pic:blipFill>
                  <pic:spPr>
                    <a:xfrm>
                      <a:off x="0" y="0"/>
                      <a:ext cx="4457721" cy="2667074"/>
                    </a:xfrm>
                    <a:prstGeom prst="rect">
                      <a:avLst/>
                    </a:prstGeom>
                  </pic:spPr>
                </pic:pic>
              </a:graphicData>
            </a:graphic>
          </wp:anchor>
        </w:drawing>
      </w:r>
      <w:r>
        <w:rPr>
          <w:spacing w:val="-2"/>
          <w:sz w:val="13"/>
          <w:szCs w:val="13"/>
        </w:rPr>
        <w:t>突破时实际价格</w:t>
      </w:r>
      <w:r>
        <w:rPr>
          <w:spacing w:val="3"/>
          <w:sz w:val="13"/>
          <w:szCs w:val="13"/>
        </w:rPr>
        <w:t xml:space="preserve"> </w:t>
      </w:r>
      <w:r>
        <w:rPr>
          <w:spacing w:val="15"/>
          <w:sz w:val="11"/>
          <w:szCs w:val="11"/>
        </w:rPr>
        <w:t>12元左右</w:t>
      </w:r>
    </w:p>
    <w:p w14:paraId="438B7375">
      <w:pPr>
        <w:spacing w:line="337" w:lineRule="auto"/>
        <w:rPr>
          <w:rFonts w:ascii="Arial"/>
          <w:sz w:val="21"/>
        </w:rPr>
      </w:pPr>
    </w:p>
    <w:p w14:paraId="4803E829">
      <w:pPr>
        <w:spacing w:line="338" w:lineRule="auto"/>
        <w:rPr>
          <w:rFonts w:ascii="Arial"/>
          <w:sz w:val="21"/>
        </w:rPr>
      </w:pPr>
    </w:p>
    <w:p w14:paraId="414C193A">
      <w:pPr>
        <w:pStyle w:val="7"/>
        <w:spacing w:before="43" w:line="220" w:lineRule="auto"/>
        <w:ind w:left="5659"/>
        <w:rPr>
          <w:sz w:val="13"/>
          <w:szCs w:val="13"/>
        </w:rPr>
      </w:pPr>
      <w:r>
        <w:rPr>
          <w:spacing w:val="-1"/>
          <w:sz w:val="13"/>
          <w:szCs w:val="13"/>
        </w:rPr>
        <w:t>重上200日线</w:t>
      </w:r>
    </w:p>
    <w:p w14:paraId="10DE51BE">
      <w:pPr>
        <w:pStyle w:val="7"/>
        <w:spacing w:before="12" w:line="219" w:lineRule="auto"/>
        <w:ind w:left="4601"/>
        <w:rPr>
          <w:sz w:val="13"/>
          <w:szCs w:val="13"/>
        </w:rPr>
      </w:pPr>
      <w:r>
        <w:rPr>
          <w:b/>
          <w:bCs/>
          <w:spacing w:val="-3"/>
          <w:sz w:val="13"/>
          <w:szCs w:val="13"/>
        </w:rPr>
        <w:t>成交量持续放大</w:t>
      </w:r>
    </w:p>
    <w:p w14:paraId="70F56ECD">
      <w:pPr>
        <w:spacing w:line="297" w:lineRule="auto"/>
        <w:rPr>
          <w:rFonts w:ascii="Arial"/>
          <w:sz w:val="21"/>
        </w:rPr>
      </w:pPr>
    </w:p>
    <w:p w14:paraId="78525514">
      <w:pPr>
        <w:pStyle w:val="7"/>
        <w:spacing w:before="36" w:line="219" w:lineRule="auto"/>
        <w:ind w:left="4459"/>
        <w:rPr>
          <w:sz w:val="11"/>
          <w:szCs w:val="11"/>
        </w:rPr>
      </w:pPr>
      <w:r>
        <w:rPr>
          <w:rFonts w:ascii="Times New Roman" w:hAnsi="Times New Roman" w:eastAsia="Times New Roman" w:cs="Times New Roman"/>
          <w:b/>
          <w:bCs/>
          <w:sz w:val="11"/>
          <w:szCs w:val="11"/>
        </w:rPr>
        <w:t>RS</w:t>
      </w:r>
      <w:r>
        <w:rPr>
          <w:b/>
          <w:bCs/>
          <w:spacing w:val="14"/>
          <w:sz w:val="11"/>
          <w:szCs w:val="11"/>
        </w:rPr>
        <w:t>持续强于指数</w:t>
      </w:r>
    </w:p>
    <w:p w14:paraId="5D044535">
      <w:pPr>
        <w:spacing w:line="420" w:lineRule="auto"/>
        <w:rPr>
          <w:rFonts w:ascii="Arial"/>
          <w:sz w:val="21"/>
        </w:rPr>
      </w:pPr>
    </w:p>
    <w:p w14:paraId="3F4E8C49">
      <w:pPr>
        <w:pStyle w:val="7"/>
        <w:spacing w:before="39" w:line="220" w:lineRule="auto"/>
        <w:ind w:left="4700"/>
        <w:rPr>
          <w:sz w:val="12"/>
          <w:szCs w:val="12"/>
        </w:rPr>
      </w:pPr>
      <w:r>
        <w:rPr>
          <w:spacing w:val="10"/>
          <w:sz w:val="12"/>
          <w:szCs w:val="12"/>
        </w:rPr>
        <w:t>站上70买点现</w:t>
      </w:r>
    </w:p>
    <w:p w14:paraId="36AB0999">
      <w:pPr>
        <w:spacing w:line="315" w:lineRule="auto"/>
        <w:rPr>
          <w:rFonts w:ascii="Arial"/>
          <w:sz w:val="21"/>
        </w:rPr>
      </w:pPr>
    </w:p>
    <w:p w14:paraId="3BC3ADA8">
      <w:pPr>
        <w:spacing w:line="315" w:lineRule="auto"/>
        <w:rPr>
          <w:rFonts w:ascii="Arial"/>
          <w:sz w:val="21"/>
        </w:rPr>
      </w:pPr>
    </w:p>
    <w:p w14:paraId="1863A7A4">
      <w:pPr>
        <w:spacing w:line="315" w:lineRule="auto"/>
        <w:rPr>
          <w:rFonts w:ascii="Arial"/>
          <w:sz w:val="21"/>
        </w:rPr>
      </w:pPr>
    </w:p>
    <w:p w14:paraId="2A6BB23E">
      <w:pPr>
        <w:pStyle w:val="7"/>
        <w:spacing w:before="55" w:line="219" w:lineRule="auto"/>
        <w:ind w:left="2662"/>
        <w:rPr>
          <w:rFonts w:ascii="黑体" w:hAnsi="黑体" w:eastAsia="黑体" w:cs="黑体"/>
        </w:rPr>
      </w:pPr>
      <w:r>
        <w:rPr>
          <w:b/>
          <w:bCs/>
          <w:spacing w:val="6"/>
        </w:rPr>
        <w:t>图</w:t>
      </w:r>
      <w:r>
        <w:rPr>
          <w:rFonts w:ascii="黑体" w:hAnsi="黑体" w:eastAsia="黑体" w:cs="黑体"/>
          <w:spacing w:val="6"/>
        </w:rPr>
        <w:t>3-6</w:t>
      </w:r>
      <w:r>
        <w:rPr>
          <w:rFonts w:ascii="黑体" w:hAnsi="黑体" w:eastAsia="黑体" w:cs="黑体"/>
          <w:spacing w:val="23"/>
        </w:rPr>
        <w:t xml:space="preserve">   </w:t>
      </w:r>
      <w:r>
        <w:rPr>
          <w:rFonts w:ascii="黑体" w:hAnsi="黑体" w:eastAsia="黑体" w:cs="黑体"/>
          <w:spacing w:val="6"/>
        </w:rPr>
        <w:t>上海钢联日线</w:t>
      </w:r>
    </w:p>
    <w:p w14:paraId="08E3E79F">
      <w:pPr>
        <w:spacing w:line="347" w:lineRule="auto"/>
        <w:rPr>
          <w:rFonts w:ascii="Arial"/>
          <w:sz w:val="21"/>
        </w:rPr>
      </w:pPr>
    </w:p>
    <w:p w14:paraId="14BDD1FE">
      <w:pPr>
        <w:spacing w:before="71" w:line="226" w:lineRule="auto"/>
        <w:ind w:left="469"/>
        <w:rPr>
          <w:rFonts w:ascii="KaiTi" w:hAnsi="KaiTi" w:eastAsia="KaiTi" w:cs="KaiTi"/>
          <w:sz w:val="22"/>
          <w:szCs w:val="22"/>
        </w:rPr>
      </w:pPr>
      <w:r>
        <w:rPr>
          <w:rFonts w:ascii="KaiTi" w:hAnsi="KaiTi" w:eastAsia="KaiTi" w:cs="KaiTi"/>
          <w:spacing w:val="-3"/>
          <w:sz w:val="22"/>
          <w:szCs w:val="22"/>
        </w:rPr>
        <w:t>(四)上述趋势牛股解析</w:t>
      </w:r>
    </w:p>
    <w:p w14:paraId="76CDDE57">
      <w:pPr>
        <w:pStyle w:val="7"/>
        <w:spacing w:before="93" w:line="219" w:lineRule="auto"/>
        <w:ind w:left="419"/>
        <w:rPr>
          <w:sz w:val="22"/>
          <w:szCs w:val="22"/>
        </w:rPr>
      </w:pPr>
      <w:r>
        <w:rPr>
          <w:rFonts w:ascii="Times New Roman" w:hAnsi="Times New Roman" w:eastAsia="Times New Roman" w:cs="Times New Roman"/>
          <w:spacing w:val="-5"/>
          <w:sz w:val="22"/>
          <w:szCs w:val="22"/>
        </w:rPr>
        <w:t xml:space="preserve">1. </w:t>
      </w:r>
      <w:r>
        <w:rPr>
          <w:spacing w:val="-5"/>
          <w:sz w:val="22"/>
          <w:szCs w:val="22"/>
        </w:rPr>
        <w:t>背景分析</w:t>
      </w:r>
    </w:p>
    <w:p w14:paraId="6B42F348">
      <w:pPr>
        <w:pStyle w:val="7"/>
        <w:spacing w:before="150" w:line="303" w:lineRule="auto"/>
        <w:ind w:right="14" w:firstLine="419"/>
        <w:rPr>
          <w:sz w:val="22"/>
          <w:szCs w:val="22"/>
        </w:rPr>
      </w:pPr>
      <w:r>
        <w:rPr>
          <w:spacing w:val="-5"/>
          <w:sz w:val="22"/>
          <w:szCs w:val="22"/>
        </w:rPr>
        <w:t>2013年6月上证指数出现市场大底，随后进入持续1年的熊末修复期。创</w:t>
      </w:r>
      <w:r>
        <w:rPr>
          <w:spacing w:val="4"/>
          <w:sz w:val="22"/>
          <w:szCs w:val="22"/>
        </w:rPr>
        <w:t xml:space="preserve"> </w:t>
      </w:r>
      <w:r>
        <w:rPr>
          <w:spacing w:val="-2"/>
          <w:sz w:val="22"/>
          <w:szCs w:val="22"/>
        </w:rPr>
        <w:t>业板在2012年12月出现市场大底后，于2013年5月提前进入牛市</w:t>
      </w:r>
      <w:r>
        <w:rPr>
          <w:spacing w:val="-3"/>
          <w:sz w:val="22"/>
          <w:szCs w:val="22"/>
        </w:rPr>
        <w:t>。市场具备</w:t>
      </w:r>
      <w:r>
        <w:rPr>
          <w:sz w:val="22"/>
          <w:szCs w:val="22"/>
        </w:rPr>
        <w:t xml:space="preserve"> </w:t>
      </w:r>
      <w:r>
        <w:rPr>
          <w:spacing w:val="-11"/>
          <w:sz w:val="22"/>
          <w:szCs w:val="22"/>
        </w:rPr>
        <w:t>走出趋势大牛的环境。</w:t>
      </w:r>
    </w:p>
    <w:p w14:paraId="17A5BF57">
      <w:pPr>
        <w:pStyle w:val="7"/>
        <w:spacing w:before="36" w:line="304" w:lineRule="auto"/>
        <w:ind w:right="21" w:firstLine="419"/>
        <w:jc w:val="both"/>
        <w:rPr>
          <w:sz w:val="22"/>
          <w:szCs w:val="22"/>
        </w:rPr>
      </w:pPr>
      <w:r>
        <w:rPr>
          <w:spacing w:val="-2"/>
          <w:sz w:val="22"/>
          <w:szCs w:val="22"/>
        </w:rPr>
        <w:t>上述几只牛股中，奋达科技2012年12月出现最低点后反弹，经过5个月</w:t>
      </w:r>
      <w:r>
        <w:rPr>
          <w:spacing w:val="1"/>
          <w:sz w:val="22"/>
          <w:szCs w:val="22"/>
        </w:rPr>
        <w:t xml:space="preserve"> </w:t>
      </w:r>
      <w:r>
        <w:rPr>
          <w:spacing w:val="-2"/>
          <w:sz w:val="22"/>
          <w:szCs w:val="22"/>
        </w:rPr>
        <w:t>整理进入主升浪；中青宝2012年12月出现最低点后</w:t>
      </w:r>
      <w:r>
        <w:rPr>
          <w:spacing w:val="-3"/>
          <w:sz w:val="22"/>
          <w:szCs w:val="22"/>
        </w:rPr>
        <w:t>反弹，经过5个月整理进</w:t>
      </w:r>
      <w:r>
        <w:rPr>
          <w:sz w:val="22"/>
          <w:szCs w:val="22"/>
        </w:rPr>
        <w:t xml:space="preserve"> </w:t>
      </w:r>
      <w:r>
        <w:rPr>
          <w:spacing w:val="-2"/>
          <w:sz w:val="22"/>
          <w:szCs w:val="22"/>
        </w:rPr>
        <w:t>入主升浪；上海钢联也是2012年12月出现最低点后</w:t>
      </w:r>
      <w:r>
        <w:rPr>
          <w:spacing w:val="-3"/>
          <w:sz w:val="22"/>
          <w:szCs w:val="22"/>
        </w:rPr>
        <w:t>反弹，经过5个月整理进</w:t>
      </w:r>
      <w:r>
        <w:rPr>
          <w:sz w:val="22"/>
          <w:szCs w:val="22"/>
        </w:rPr>
        <w:t xml:space="preserve"> </w:t>
      </w:r>
      <w:r>
        <w:rPr>
          <w:spacing w:val="-7"/>
          <w:sz w:val="22"/>
          <w:szCs w:val="22"/>
        </w:rPr>
        <w:t>入主升浪。</w:t>
      </w:r>
    </w:p>
    <w:p w14:paraId="0009FA5A">
      <w:pPr>
        <w:pStyle w:val="7"/>
        <w:spacing w:before="69" w:line="304" w:lineRule="auto"/>
        <w:ind w:right="17" w:firstLine="419"/>
        <w:jc w:val="both"/>
        <w:rPr>
          <w:sz w:val="22"/>
          <w:szCs w:val="22"/>
        </w:rPr>
      </w:pPr>
      <w:r>
        <w:rPr>
          <w:spacing w:val="-9"/>
          <w:sz w:val="22"/>
          <w:szCs w:val="22"/>
        </w:rPr>
        <w:t>几只个股都是创业板股票，在市场大底现之后，牛股们都经过了5个月时</w:t>
      </w:r>
      <w:r>
        <w:rPr>
          <w:spacing w:val="9"/>
          <w:sz w:val="22"/>
          <w:szCs w:val="22"/>
        </w:rPr>
        <w:t xml:space="preserve"> </w:t>
      </w:r>
      <w:r>
        <w:rPr>
          <w:spacing w:val="-12"/>
          <w:sz w:val="22"/>
          <w:szCs w:val="22"/>
        </w:rPr>
        <w:t>间的整理后才突破平台进入牛市或启动主升浪，这说明确认趋势牛股在见大底</w:t>
      </w:r>
      <w:r>
        <w:rPr>
          <w:sz w:val="22"/>
          <w:szCs w:val="22"/>
        </w:rPr>
        <w:t xml:space="preserve"> </w:t>
      </w:r>
      <w:r>
        <w:rPr>
          <w:spacing w:val="-11"/>
          <w:sz w:val="22"/>
          <w:szCs w:val="22"/>
        </w:rPr>
        <w:t>后都需要一个修复期或整理期来完成技术指标的改善。</w:t>
      </w:r>
    </w:p>
    <w:p w14:paraId="596ABDDA">
      <w:pPr>
        <w:pStyle w:val="7"/>
        <w:spacing w:before="44" w:line="304" w:lineRule="auto"/>
        <w:ind w:right="18" w:firstLine="419"/>
        <w:jc w:val="both"/>
        <w:rPr>
          <w:sz w:val="22"/>
          <w:szCs w:val="22"/>
        </w:rPr>
      </w:pPr>
      <w:r>
        <w:rPr>
          <w:spacing w:val="-5"/>
          <w:sz w:val="22"/>
          <w:szCs w:val="22"/>
        </w:rPr>
        <w:t>几只牛股在当时都属于小盘股，突破平台时的股价大多在10～</w:t>
      </w:r>
      <w:r>
        <w:rPr>
          <w:spacing w:val="-6"/>
          <w:sz w:val="22"/>
          <w:szCs w:val="22"/>
        </w:rPr>
        <w:t>15元。按</w:t>
      </w:r>
      <w:r>
        <w:rPr>
          <w:sz w:val="22"/>
          <w:szCs w:val="22"/>
        </w:rPr>
        <w:t xml:space="preserve"> </w:t>
      </w:r>
      <w:r>
        <w:rPr>
          <w:spacing w:val="-11"/>
          <w:sz w:val="22"/>
          <w:szCs w:val="22"/>
        </w:rPr>
        <w:t>股价从最底部上来看，未突破平台前，基本都有30%～60%的涨幅。</w:t>
      </w:r>
      <w:r>
        <w:rPr>
          <w:spacing w:val="-12"/>
          <w:sz w:val="22"/>
          <w:szCs w:val="22"/>
        </w:rPr>
        <w:t>所以，在这</w:t>
      </w:r>
      <w:r>
        <w:rPr>
          <w:sz w:val="22"/>
          <w:szCs w:val="22"/>
        </w:rPr>
        <w:t xml:space="preserve"> </w:t>
      </w:r>
      <w:r>
        <w:rPr>
          <w:spacing w:val="-11"/>
          <w:sz w:val="22"/>
          <w:szCs w:val="22"/>
        </w:rPr>
        <w:t>些牛股最具确定性的买入点是突破平台后位置。</w:t>
      </w:r>
    </w:p>
    <w:p w14:paraId="0DE988CE">
      <w:pPr>
        <w:spacing w:line="304" w:lineRule="auto"/>
        <w:rPr>
          <w:sz w:val="22"/>
          <w:szCs w:val="22"/>
        </w:rPr>
        <w:sectPr>
          <w:pgSz w:w="8770" w:h="13360"/>
          <w:pgMar w:top="932" w:right="549" w:bottom="725" w:left="1130" w:header="671" w:footer="563" w:gutter="0"/>
          <w:cols w:space="720" w:num="1"/>
        </w:sectPr>
      </w:pPr>
    </w:p>
    <w:p w14:paraId="1AD2724A">
      <w:pPr>
        <w:spacing w:line="308" w:lineRule="auto"/>
        <w:rPr>
          <w:rFonts w:ascii="Arial"/>
          <w:sz w:val="21"/>
        </w:rPr>
      </w:pPr>
    </w:p>
    <w:p w14:paraId="445D40E4">
      <w:pPr>
        <w:spacing w:before="56" w:line="222" w:lineRule="auto"/>
        <w:jc w:val="right"/>
        <w:rPr>
          <w:rFonts w:ascii="FangSong" w:hAnsi="FangSong" w:eastAsia="FangSong" w:cs="FangSong"/>
          <w:sz w:val="17"/>
          <w:szCs w:val="17"/>
        </w:rPr>
      </w:pPr>
      <w:r>
        <w:rPr>
          <w:rFonts w:ascii="FangSong" w:hAnsi="FangSong" w:eastAsia="FangSong" w:cs="FangSong"/>
          <w:spacing w:val="10"/>
          <w:sz w:val="17"/>
          <w:szCs w:val="17"/>
        </w:rPr>
        <w:t>第三章</w:t>
      </w:r>
      <w:r>
        <w:rPr>
          <w:rFonts w:ascii="FangSong" w:hAnsi="FangSong" w:eastAsia="FangSong" w:cs="FangSong"/>
          <w:spacing w:val="55"/>
          <w:sz w:val="17"/>
          <w:szCs w:val="17"/>
        </w:rPr>
        <w:t xml:space="preserve"> </w:t>
      </w:r>
      <w:r>
        <w:rPr>
          <w:rFonts w:ascii="FangSong" w:hAnsi="FangSong" w:eastAsia="FangSong" w:cs="FangSong"/>
          <w:spacing w:val="10"/>
          <w:sz w:val="17"/>
          <w:szCs w:val="17"/>
        </w:rPr>
        <w:t>趋势战法</w:t>
      </w:r>
    </w:p>
    <w:p w14:paraId="70B9FE66">
      <w:pPr>
        <w:spacing w:line="424" w:lineRule="auto"/>
        <w:rPr>
          <w:rFonts w:ascii="Arial"/>
          <w:sz w:val="21"/>
        </w:rPr>
      </w:pPr>
    </w:p>
    <w:p w14:paraId="65D46378">
      <w:pPr>
        <w:pStyle w:val="7"/>
        <w:spacing w:before="72" w:line="302" w:lineRule="auto"/>
        <w:ind w:right="55" w:firstLine="400"/>
        <w:rPr>
          <w:sz w:val="22"/>
          <w:szCs w:val="22"/>
        </w:rPr>
      </w:pPr>
      <w:r>
        <w:rPr>
          <w:spacing w:val="-13"/>
          <w:sz w:val="22"/>
          <w:szCs w:val="22"/>
        </w:rPr>
        <w:t>趋势交易大师们不在最底部买入的原因就是要让“</w:t>
      </w:r>
      <w:r>
        <w:rPr>
          <w:spacing w:val="-14"/>
          <w:sz w:val="22"/>
          <w:szCs w:val="22"/>
        </w:rPr>
        <w:t>趋势”先得到确认然后</w:t>
      </w:r>
      <w:r>
        <w:rPr>
          <w:sz w:val="22"/>
          <w:szCs w:val="22"/>
        </w:rPr>
        <w:t xml:space="preserve"> </w:t>
      </w:r>
      <w:r>
        <w:rPr>
          <w:spacing w:val="-8"/>
          <w:sz w:val="22"/>
          <w:szCs w:val="22"/>
        </w:rPr>
        <w:t>再参与。</w:t>
      </w:r>
    </w:p>
    <w:p w14:paraId="3206219C">
      <w:pPr>
        <w:pStyle w:val="7"/>
        <w:spacing w:line="219" w:lineRule="auto"/>
        <w:ind w:left="400"/>
        <w:rPr>
          <w:sz w:val="22"/>
          <w:szCs w:val="22"/>
        </w:rPr>
      </w:pPr>
      <w:r>
        <w:rPr>
          <w:rFonts w:ascii="Times New Roman" w:hAnsi="Times New Roman" w:eastAsia="Times New Roman" w:cs="Times New Roman"/>
          <w:spacing w:val="-5"/>
          <w:sz w:val="22"/>
          <w:szCs w:val="22"/>
        </w:rPr>
        <w:t>2.</w:t>
      </w:r>
      <w:r>
        <w:rPr>
          <w:rFonts w:ascii="Times New Roman" w:hAnsi="Times New Roman" w:eastAsia="Times New Roman" w:cs="Times New Roman"/>
          <w:spacing w:val="-15"/>
          <w:sz w:val="22"/>
          <w:szCs w:val="22"/>
        </w:rPr>
        <w:t xml:space="preserve"> </w:t>
      </w:r>
      <w:r>
        <w:rPr>
          <w:spacing w:val="-5"/>
          <w:sz w:val="22"/>
          <w:szCs w:val="22"/>
        </w:rPr>
        <w:t>技术分析</w:t>
      </w:r>
    </w:p>
    <w:p w14:paraId="68C51C6B">
      <w:pPr>
        <w:pStyle w:val="7"/>
        <w:spacing w:before="137" w:line="297" w:lineRule="auto"/>
        <w:ind w:right="61" w:firstLine="400"/>
        <w:rPr>
          <w:sz w:val="22"/>
          <w:szCs w:val="22"/>
        </w:rPr>
      </w:pPr>
      <w:r>
        <w:rPr>
          <w:spacing w:val="-14"/>
          <w:sz w:val="22"/>
          <w:szCs w:val="22"/>
        </w:rPr>
        <w:t>几只牛股从股价见底到修复，再到突破平台，在技术面上具有共同的八大</w:t>
      </w:r>
      <w:r>
        <w:rPr>
          <w:spacing w:val="16"/>
          <w:sz w:val="22"/>
          <w:szCs w:val="22"/>
        </w:rPr>
        <w:t xml:space="preserve"> </w:t>
      </w:r>
      <w:r>
        <w:rPr>
          <w:spacing w:val="-9"/>
          <w:sz w:val="22"/>
          <w:szCs w:val="22"/>
        </w:rPr>
        <w:t>特征。</w:t>
      </w:r>
    </w:p>
    <w:p w14:paraId="2E64B4D1">
      <w:pPr>
        <w:pStyle w:val="7"/>
        <w:spacing w:before="23" w:line="269" w:lineRule="auto"/>
        <w:ind w:right="68" w:firstLine="400"/>
        <w:rPr>
          <w:sz w:val="22"/>
          <w:szCs w:val="22"/>
        </w:rPr>
      </w:pPr>
      <w:r>
        <w:rPr>
          <w:spacing w:val="-9"/>
          <w:sz w:val="22"/>
          <w:szCs w:val="22"/>
        </w:rPr>
        <w:t>(1)都通过技术修复期，完全站稳10周均线</w:t>
      </w:r>
      <w:r>
        <w:rPr>
          <w:spacing w:val="-10"/>
          <w:sz w:val="22"/>
          <w:szCs w:val="22"/>
        </w:rPr>
        <w:t>和30周均线，两线在突破平台</w:t>
      </w:r>
      <w:r>
        <w:rPr>
          <w:sz w:val="22"/>
          <w:szCs w:val="22"/>
        </w:rPr>
        <w:t xml:space="preserve"> </w:t>
      </w:r>
      <w:r>
        <w:rPr>
          <w:spacing w:val="-17"/>
          <w:sz w:val="22"/>
          <w:szCs w:val="22"/>
        </w:rPr>
        <w:t>前后开始向上发散，这是进入个股牛市的标志。</w:t>
      </w:r>
    </w:p>
    <w:p w14:paraId="27E29CA4">
      <w:pPr>
        <w:pStyle w:val="7"/>
        <w:spacing w:before="119" w:line="219" w:lineRule="auto"/>
        <w:ind w:left="400"/>
        <w:rPr>
          <w:sz w:val="22"/>
          <w:szCs w:val="22"/>
        </w:rPr>
      </w:pPr>
      <w:r>
        <w:rPr>
          <w:spacing w:val="-22"/>
          <w:w w:val="98"/>
          <w:sz w:val="22"/>
          <w:szCs w:val="22"/>
        </w:rPr>
        <w:t>(2)成交量在修复期呈现上涨有量下跌无量、在突破平台时明显放量的特征。</w:t>
      </w:r>
    </w:p>
    <w:p w14:paraId="5DA9EFBE">
      <w:pPr>
        <w:pStyle w:val="7"/>
        <w:spacing w:before="107" w:line="261" w:lineRule="auto"/>
        <w:ind w:right="48" w:firstLine="400"/>
        <w:rPr>
          <w:sz w:val="22"/>
          <w:szCs w:val="22"/>
        </w:rPr>
      </w:pPr>
      <w:r>
        <w:rPr>
          <w:spacing w:val="-7"/>
          <w:sz w:val="22"/>
          <w:szCs w:val="22"/>
        </w:rPr>
        <w:t>(3)</w:t>
      </w:r>
      <w:r>
        <w:rPr>
          <w:rFonts w:ascii="Times New Roman" w:hAnsi="Times New Roman" w:eastAsia="Times New Roman" w:cs="Times New Roman"/>
          <w:spacing w:val="-7"/>
          <w:sz w:val="22"/>
          <w:szCs w:val="22"/>
        </w:rPr>
        <w:t>RS</w:t>
      </w:r>
      <w:r>
        <w:rPr>
          <w:spacing w:val="-7"/>
          <w:sz w:val="22"/>
          <w:szCs w:val="22"/>
        </w:rPr>
        <w:t>指数在突破平台前由下(可以是0值以下)持续向上走强，突</w:t>
      </w:r>
      <w:r>
        <w:rPr>
          <w:spacing w:val="-8"/>
          <w:sz w:val="22"/>
          <w:szCs w:val="22"/>
        </w:rPr>
        <w:t>破平台</w:t>
      </w:r>
      <w:r>
        <w:rPr>
          <w:sz w:val="22"/>
          <w:szCs w:val="22"/>
        </w:rPr>
        <w:t xml:space="preserve"> </w:t>
      </w:r>
      <w:r>
        <w:rPr>
          <w:spacing w:val="-16"/>
          <w:sz w:val="22"/>
          <w:szCs w:val="22"/>
        </w:rPr>
        <w:t>时，则处于0值以上的正值区，强于指数。</w:t>
      </w:r>
    </w:p>
    <w:p w14:paraId="794CA1E5">
      <w:pPr>
        <w:pStyle w:val="7"/>
        <w:spacing w:before="130" w:line="292" w:lineRule="auto"/>
        <w:ind w:right="35" w:firstLine="400"/>
        <w:rPr>
          <w:sz w:val="22"/>
          <w:szCs w:val="22"/>
        </w:rPr>
      </w:pPr>
      <w:r>
        <w:rPr>
          <w:spacing w:val="-8"/>
          <w:sz w:val="22"/>
          <w:szCs w:val="22"/>
        </w:rPr>
        <w:t>(4)</w:t>
      </w:r>
      <w:r>
        <w:rPr>
          <w:rFonts w:ascii="Times New Roman" w:hAnsi="Times New Roman" w:eastAsia="Times New Roman" w:cs="Times New Roman"/>
          <w:spacing w:val="-8"/>
          <w:sz w:val="22"/>
          <w:szCs w:val="22"/>
        </w:rPr>
        <w:t>RSI</w:t>
      </w:r>
      <w:r>
        <w:rPr>
          <w:spacing w:val="-8"/>
          <w:sz w:val="22"/>
          <w:szCs w:val="22"/>
        </w:rPr>
        <w:t>是最重要的买点突破观察指标。通过对周</w:t>
      </w:r>
      <w:r>
        <w:rPr>
          <w:rFonts w:ascii="Times New Roman" w:hAnsi="Times New Roman" w:eastAsia="Times New Roman" w:cs="Times New Roman"/>
          <w:spacing w:val="-8"/>
          <w:sz w:val="22"/>
          <w:szCs w:val="22"/>
        </w:rPr>
        <w:t>RSI</w:t>
      </w:r>
      <w:r>
        <w:rPr>
          <w:rFonts w:ascii="Times New Roman" w:hAnsi="Times New Roman" w:eastAsia="Times New Roman" w:cs="Times New Roman"/>
          <w:spacing w:val="-9"/>
          <w:sz w:val="22"/>
          <w:szCs w:val="22"/>
        </w:rPr>
        <w:t xml:space="preserve"> </w:t>
      </w:r>
      <w:r>
        <w:rPr>
          <w:spacing w:val="-8"/>
          <w:sz w:val="22"/>
          <w:szCs w:val="22"/>
        </w:rPr>
        <w:t>和日</w:t>
      </w:r>
      <w:r>
        <w:rPr>
          <w:rFonts w:ascii="Times New Roman" w:hAnsi="Times New Roman" w:eastAsia="Times New Roman" w:cs="Times New Roman"/>
          <w:spacing w:val="-8"/>
          <w:sz w:val="22"/>
          <w:szCs w:val="22"/>
        </w:rPr>
        <w:t>RSI</w:t>
      </w:r>
      <w:r>
        <w:rPr>
          <w:spacing w:val="-8"/>
          <w:sz w:val="22"/>
          <w:szCs w:val="22"/>
        </w:rPr>
        <w:t>指标的相互</w:t>
      </w:r>
      <w:r>
        <w:rPr>
          <w:sz w:val="22"/>
          <w:szCs w:val="22"/>
        </w:rPr>
        <w:t xml:space="preserve"> </w:t>
      </w:r>
      <w:r>
        <w:rPr>
          <w:spacing w:val="-19"/>
          <w:sz w:val="22"/>
          <w:szCs w:val="22"/>
        </w:rPr>
        <w:t>观察，突破平台前的指标通常已经向70值线发起进攻，显示内部筹码在短期内的</w:t>
      </w:r>
      <w:r>
        <w:rPr>
          <w:spacing w:val="18"/>
          <w:sz w:val="22"/>
          <w:szCs w:val="22"/>
        </w:rPr>
        <w:t xml:space="preserve"> </w:t>
      </w:r>
      <w:r>
        <w:rPr>
          <w:spacing w:val="-19"/>
          <w:sz w:val="22"/>
          <w:szCs w:val="22"/>
        </w:rPr>
        <w:t>强势特征，这是非常明确的买入信号，也是判断整理期真假突</w:t>
      </w:r>
      <w:r>
        <w:rPr>
          <w:spacing w:val="-20"/>
          <w:sz w:val="22"/>
          <w:szCs w:val="22"/>
        </w:rPr>
        <w:t>破的重要信号。真</w:t>
      </w:r>
      <w:r>
        <w:rPr>
          <w:sz w:val="22"/>
          <w:szCs w:val="22"/>
        </w:rPr>
        <w:t xml:space="preserve"> </w:t>
      </w:r>
      <w:r>
        <w:rPr>
          <w:spacing w:val="-17"/>
          <w:sz w:val="22"/>
          <w:szCs w:val="22"/>
        </w:rPr>
        <w:t>突破要么是站上70值线，要么在突破70值线后，在70～60区间内强势整</w:t>
      </w:r>
      <w:r>
        <w:rPr>
          <w:spacing w:val="-18"/>
          <w:sz w:val="22"/>
          <w:szCs w:val="22"/>
        </w:rPr>
        <w:t>理，凡突</w:t>
      </w:r>
      <w:r>
        <w:rPr>
          <w:sz w:val="22"/>
          <w:szCs w:val="22"/>
        </w:rPr>
        <w:t xml:space="preserve"> </w:t>
      </w:r>
      <w:r>
        <w:rPr>
          <w:spacing w:val="-17"/>
          <w:sz w:val="22"/>
          <w:szCs w:val="22"/>
        </w:rPr>
        <w:t>破70值线又马上拐头掉下60值线的，说明仍在整理期，不在上升期。</w:t>
      </w:r>
    </w:p>
    <w:p w14:paraId="083F22CF">
      <w:pPr>
        <w:pStyle w:val="7"/>
        <w:spacing w:before="117" w:line="218" w:lineRule="auto"/>
        <w:ind w:left="400"/>
        <w:rPr>
          <w:sz w:val="22"/>
          <w:szCs w:val="22"/>
        </w:rPr>
      </w:pPr>
      <w:r>
        <w:rPr>
          <w:spacing w:val="-16"/>
          <w:sz w:val="22"/>
          <w:szCs w:val="22"/>
        </w:rPr>
        <w:t>(5)都是属于创业板小盘低价股，市值空间巨大。</w:t>
      </w:r>
    </w:p>
    <w:p w14:paraId="50B8AFA2">
      <w:pPr>
        <w:pStyle w:val="7"/>
        <w:spacing w:before="121" w:line="261" w:lineRule="auto"/>
        <w:ind w:right="61" w:firstLine="400"/>
        <w:rPr>
          <w:sz w:val="22"/>
          <w:szCs w:val="22"/>
        </w:rPr>
      </w:pPr>
      <w:r>
        <w:rPr>
          <w:spacing w:val="-16"/>
          <w:sz w:val="22"/>
          <w:szCs w:val="22"/>
        </w:rPr>
        <w:t>(6)趋势牛股的长期图形都非常漂亮，历史平台平滑，一旦突破近期历史平</w:t>
      </w:r>
      <w:r>
        <w:rPr>
          <w:spacing w:val="2"/>
          <w:sz w:val="22"/>
          <w:szCs w:val="22"/>
        </w:rPr>
        <w:t xml:space="preserve"> </w:t>
      </w:r>
      <w:r>
        <w:rPr>
          <w:spacing w:val="-22"/>
          <w:sz w:val="22"/>
          <w:szCs w:val="22"/>
        </w:rPr>
        <w:t>台，上面的压力全部化解，上涨空间完全打开。</w:t>
      </w:r>
    </w:p>
    <w:p w14:paraId="092DF698">
      <w:pPr>
        <w:pStyle w:val="7"/>
        <w:spacing w:before="127" w:line="265" w:lineRule="auto"/>
        <w:ind w:right="62" w:firstLine="400"/>
        <w:rPr>
          <w:sz w:val="22"/>
          <w:szCs w:val="22"/>
        </w:rPr>
      </w:pPr>
      <w:r>
        <w:rPr>
          <w:spacing w:val="-10"/>
          <w:sz w:val="22"/>
          <w:szCs w:val="22"/>
        </w:rPr>
        <w:t>(7)在图上一定要划出历史突破平台。研究个股在平台内的均线与量价配</w:t>
      </w:r>
      <w:r>
        <w:rPr>
          <w:spacing w:val="8"/>
          <w:sz w:val="22"/>
          <w:szCs w:val="22"/>
        </w:rPr>
        <w:t xml:space="preserve"> </w:t>
      </w:r>
      <w:r>
        <w:rPr>
          <w:spacing w:val="-16"/>
          <w:sz w:val="22"/>
          <w:szCs w:val="22"/>
        </w:rPr>
        <w:t>合是否满足条件，突破平台时的均线、成交量与</w:t>
      </w:r>
      <w:r>
        <w:rPr>
          <w:rFonts w:ascii="Times New Roman" w:hAnsi="Times New Roman" w:eastAsia="Times New Roman" w:cs="Times New Roman"/>
          <w:spacing w:val="-16"/>
          <w:sz w:val="22"/>
          <w:szCs w:val="22"/>
        </w:rPr>
        <w:t>RSI</w:t>
      </w:r>
      <w:r>
        <w:rPr>
          <w:rFonts w:ascii="Times New Roman" w:hAnsi="Times New Roman" w:eastAsia="Times New Roman" w:cs="Times New Roman"/>
          <w:spacing w:val="-9"/>
          <w:sz w:val="22"/>
          <w:szCs w:val="22"/>
        </w:rPr>
        <w:t xml:space="preserve"> </w:t>
      </w:r>
      <w:r>
        <w:rPr>
          <w:spacing w:val="-16"/>
          <w:sz w:val="22"/>
          <w:szCs w:val="22"/>
        </w:rPr>
        <w:t>基本都要满足要求。</w:t>
      </w:r>
    </w:p>
    <w:p w14:paraId="41D70AEB">
      <w:pPr>
        <w:pStyle w:val="7"/>
        <w:spacing w:before="111" w:line="287" w:lineRule="auto"/>
        <w:ind w:right="40" w:firstLine="400"/>
        <w:rPr>
          <w:sz w:val="22"/>
          <w:szCs w:val="22"/>
        </w:rPr>
      </w:pPr>
      <w:r>
        <w:rPr>
          <w:spacing w:val="-10"/>
          <w:sz w:val="22"/>
          <w:szCs w:val="22"/>
        </w:rPr>
        <w:t>(8)不仅要重视长期图形，还要研究短期图形。短期图形是个股从最低价</w:t>
      </w:r>
      <w:r>
        <w:rPr>
          <w:spacing w:val="8"/>
          <w:sz w:val="22"/>
          <w:szCs w:val="22"/>
        </w:rPr>
        <w:t xml:space="preserve"> </w:t>
      </w:r>
      <w:r>
        <w:rPr>
          <w:spacing w:val="-14"/>
          <w:sz w:val="22"/>
          <w:szCs w:val="22"/>
        </w:rPr>
        <w:t>开始反弹后走出的</w:t>
      </w:r>
      <w:r>
        <w:rPr>
          <w:rFonts w:ascii="Times New Roman" w:hAnsi="Times New Roman" w:eastAsia="Times New Roman" w:cs="Times New Roman"/>
          <w:spacing w:val="-14"/>
          <w:sz w:val="22"/>
          <w:szCs w:val="22"/>
        </w:rPr>
        <w:t>K</w:t>
      </w:r>
      <w:r>
        <w:rPr>
          <w:rFonts w:ascii="Times New Roman" w:hAnsi="Times New Roman" w:eastAsia="Times New Roman" w:cs="Times New Roman"/>
          <w:spacing w:val="18"/>
          <w:w w:val="101"/>
          <w:sz w:val="22"/>
          <w:szCs w:val="22"/>
        </w:rPr>
        <w:t xml:space="preserve"> </w:t>
      </w:r>
      <w:r>
        <w:rPr>
          <w:spacing w:val="-14"/>
          <w:sz w:val="22"/>
          <w:szCs w:val="22"/>
        </w:rPr>
        <w:t>线图形，用周、日线共同观察。趋势牛</w:t>
      </w:r>
      <w:r>
        <w:rPr>
          <w:spacing w:val="-15"/>
          <w:sz w:val="22"/>
          <w:szCs w:val="22"/>
        </w:rPr>
        <w:t>股的短期图形基本</w:t>
      </w:r>
      <w:r>
        <w:rPr>
          <w:sz w:val="22"/>
          <w:szCs w:val="22"/>
        </w:rPr>
        <w:t xml:space="preserve"> </w:t>
      </w:r>
      <w:r>
        <w:rPr>
          <w:spacing w:val="-13"/>
          <w:sz w:val="22"/>
          <w:szCs w:val="22"/>
        </w:rPr>
        <w:t>都是比较强势的典型图形。比如正反三角形、旗形和楔形</w:t>
      </w:r>
      <w:r>
        <w:rPr>
          <w:spacing w:val="-14"/>
          <w:sz w:val="22"/>
          <w:szCs w:val="22"/>
        </w:rPr>
        <w:t>。这类图形呈现的是</w:t>
      </w:r>
      <w:r>
        <w:rPr>
          <w:sz w:val="22"/>
          <w:szCs w:val="22"/>
        </w:rPr>
        <w:t xml:space="preserve"> </w:t>
      </w:r>
      <w:r>
        <w:rPr>
          <w:spacing w:val="-20"/>
          <w:sz w:val="22"/>
          <w:szCs w:val="22"/>
        </w:rPr>
        <w:t>典型的，底部不断提升，股价不断规律收窄的突破形态。</w:t>
      </w:r>
    </w:p>
    <w:p w14:paraId="04BB52E8">
      <w:pPr>
        <w:pStyle w:val="7"/>
        <w:spacing w:before="130" w:line="307" w:lineRule="auto"/>
        <w:ind w:right="60" w:firstLine="400"/>
        <w:rPr>
          <w:sz w:val="22"/>
          <w:szCs w:val="22"/>
        </w:rPr>
      </w:pPr>
      <w:r>
        <w:rPr>
          <w:spacing w:val="-14"/>
          <w:sz w:val="22"/>
          <w:szCs w:val="22"/>
        </w:rPr>
        <w:t>以上各股还有一个非技术性的特征，就是要么基本面具有业绩成长性，要</w:t>
      </w:r>
      <w:r>
        <w:rPr>
          <w:spacing w:val="17"/>
          <w:sz w:val="22"/>
          <w:szCs w:val="22"/>
        </w:rPr>
        <w:t xml:space="preserve"> </w:t>
      </w:r>
      <w:r>
        <w:rPr>
          <w:spacing w:val="-16"/>
          <w:sz w:val="22"/>
          <w:szCs w:val="22"/>
        </w:rPr>
        <w:t>么是题材和当时的政策相应，而且所在行业或题材板块的技术形态也不错。</w:t>
      </w:r>
    </w:p>
    <w:p w14:paraId="498E2550">
      <w:pPr>
        <w:pStyle w:val="7"/>
        <w:spacing w:line="219" w:lineRule="auto"/>
        <w:ind w:left="400"/>
        <w:rPr>
          <w:sz w:val="22"/>
          <w:szCs w:val="22"/>
        </w:rPr>
      </w:pPr>
      <w:r>
        <w:rPr>
          <w:rFonts w:ascii="Times New Roman" w:hAnsi="Times New Roman" w:eastAsia="Times New Roman" w:cs="Times New Roman"/>
          <w:spacing w:val="-1"/>
          <w:sz w:val="22"/>
          <w:szCs w:val="22"/>
        </w:rPr>
        <w:t>3.</w:t>
      </w:r>
      <w:r>
        <w:rPr>
          <w:spacing w:val="-1"/>
          <w:sz w:val="22"/>
          <w:szCs w:val="22"/>
        </w:rPr>
        <w:t>图形特征</w:t>
      </w:r>
    </w:p>
    <w:p w14:paraId="5B9C26F6">
      <w:pPr>
        <w:pStyle w:val="7"/>
        <w:spacing w:before="116" w:line="307" w:lineRule="auto"/>
        <w:ind w:right="56" w:firstLine="400"/>
        <w:rPr>
          <w:sz w:val="22"/>
          <w:szCs w:val="22"/>
        </w:rPr>
      </w:pPr>
      <w:r>
        <w:rPr>
          <w:spacing w:val="-16"/>
          <w:sz w:val="22"/>
          <w:szCs w:val="22"/>
        </w:rPr>
        <w:t>短期图形逐步收敛(或反收敛)、底部抬高，呈量价健康的重要整理形态(如</w:t>
      </w:r>
      <w:r>
        <w:rPr>
          <w:spacing w:val="8"/>
          <w:sz w:val="22"/>
          <w:szCs w:val="22"/>
        </w:rPr>
        <w:t xml:space="preserve"> </w:t>
      </w:r>
      <w:r>
        <w:rPr>
          <w:spacing w:val="15"/>
          <w:sz w:val="22"/>
          <w:szCs w:val="22"/>
        </w:rPr>
        <w:t>图3-7所示)。</w:t>
      </w:r>
    </w:p>
    <w:p w14:paraId="77E14B02">
      <w:pPr>
        <w:spacing w:line="307" w:lineRule="auto"/>
        <w:rPr>
          <w:sz w:val="22"/>
          <w:szCs w:val="22"/>
        </w:rPr>
        <w:sectPr>
          <w:pgSz w:w="8740" w:h="13340"/>
          <w:pgMar w:top="400" w:right="1208" w:bottom="688" w:left="459" w:header="0" w:footer="456" w:gutter="0"/>
          <w:cols w:space="720" w:num="1"/>
        </w:sectPr>
      </w:pPr>
    </w:p>
    <w:p w14:paraId="7CA53D21">
      <w:pPr>
        <w:spacing w:line="291" w:lineRule="auto"/>
        <w:rPr>
          <w:rFonts w:ascii="Arial"/>
          <w:sz w:val="21"/>
        </w:rPr>
      </w:pPr>
    </w:p>
    <w:p w14:paraId="4776D135">
      <w:pPr>
        <w:spacing w:line="292" w:lineRule="auto"/>
        <w:rPr>
          <w:rFonts w:ascii="Arial"/>
          <w:sz w:val="21"/>
        </w:rPr>
      </w:pPr>
    </w:p>
    <w:p w14:paraId="1DF12AE5">
      <w:pPr>
        <w:spacing w:line="10430" w:lineRule="exact"/>
        <w:ind w:firstLine="310"/>
      </w:pPr>
      <w:r>
        <w:rPr>
          <w:position w:val="-208"/>
        </w:rPr>
        <w:drawing>
          <wp:inline distT="0" distB="0" distL="0" distR="0">
            <wp:extent cx="4126865" cy="6622415"/>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612"/>
                    <a:stretch>
                      <a:fillRect/>
                    </a:stretch>
                  </pic:blipFill>
                  <pic:spPr>
                    <a:xfrm>
                      <a:off x="0" y="0"/>
                      <a:ext cx="4127482" cy="6622977"/>
                    </a:xfrm>
                    <a:prstGeom prst="rect">
                      <a:avLst/>
                    </a:prstGeom>
                  </pic:spPr>
                </pic:pic>
              </a:graphicData>
            </a:graphic>
          </wp:inline>
        </w:drawing>
      </w:r>
    </w:p>
    <w:p w14:paraId="16FBA4D1">
      <w:pPr>
        <w:spacing w:line="10430" w:lineRule="exact"/>
        <w:sectPr>
          <w:pgSz w:w="8770" w:h="13360"/>
          <w:pgMar w:top="1042" w:right="740" w:bottom="625" w:left="1219" w:header="781" w:footer="463" w:gutter="0"/>
          <w:cols w:space="720" w:num="1"/>
        </w:sectPr>
      </w:pPr>
    </w:p>
    <w:p w14:paraId="3A3A4CC3">
      <w:pPr>
        <w:spacing w:line="318" w:lineRule="auto"/>
        <w:rPr>
          <w:rFonts w:ascii="Arial"/>
          <w:sz w:val="21"/>
        </w:rPr>
      </w:pPr>
    </w:p>
    <w:p w14:paraId="33287472">
      <w:pPr>
        <w:spacing w:before="55" w:line="222" w:lineRule="auto"/>
        <w:jc w:val="right"/>
        <w:rPr>
          <w:rFonts w:ascii="FangSong" w:hAnsi="FangSong" w:eastAsia="FangSong" w:cs="FangSong"/>
          <w:sz w:val="17"/>
          <w:szCs w:val="17"/>
        </w:rPr>
      </w:pPr>
      <w:r>
        <w:rPr>
          <w:rFonts w:ascii="FangSong" w:hAnsi="FangSong" w:eastAsia="FangSong" w:cs="FangSong"/>
          <w:spacing w:val="10"/>
          <w:sz w:val="17"/>
          <w:szCs w:val="17"/>
        </w:rPr>
        <w:t>第三章</w:t>
      </w:r>
      <w:r>
        <w:rPr>
          <w:rFonts w:ascii="FangSong" w:hAnsi="FangSong" w:eastAsia="FangSong" w:cs="FangSong"/>
          <w:spacing w:val="55"/>
          <w:sz w:val="17"/>
          <w:szCs w:val="17"/>
        </w:rPr>
        <w:t xml:space="preserve"> </w:t>
      </w:r>
      <w:r>
        <w:rPr>
          <w:rFonts w:ascii="FangSong" w:hAnsi="FangSong" w:eastAsia="FangSong" w:cs="FangSong"/>
          <w:spacing w:val="10"/>
          <w:sz w:val="17"/>
          <w:szCs w:val="17"/>
        </w:rPr>
        <w:t>趋势战法</w:t>
      </w:r>
    </w:p>
    <w:p w14:paraId="0F206107">
      <w:pPr>
        <w:spacing w:before="86"/>
      </w:pPr>
    </w:p>
    <w:p w14:paraId="2E1A4904">
      <w:pPr>
        <w:spacing w:before="85"/>
      </w:pPr>
    </w:p>
    <w:tbl>
      <w:tblPr>
        <w:tblStyle w:val="10"/>
        <w:tblW w:w="6300" w:type="dxa"/>
        <w:tblInd w:w="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1"/>
        <w:gridCol w:w="1458"/>
        <w:gridCol w:w="320"/>
        <w:gridCol w:w="255"/>
        <w:gridCol w:w="534"/>
        <w:gridCol w:w="1074"/>
        <w:gridCol w:w="234"/>
        <w:gridCol w:w="724"/>
      </w:tblGrid>
      <w:tr w14:paraId="7D29D0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952" w:hRule="atLeast"/>
        </w:trPr>
        <w:tc>
          <w:tcPr>
            <w:tcW w:w="5576" w:type="dxa"/>
            <w:gridSpan w:val="7"/>
            <w:vAlign w:val="top"/>
          </w:tcPr>
          <w:p w14:paraId="741B84CC">
            <w:pPr>
              <w:rPr>
                <w:rFonts w:ascii="Arial"/>
                <w:sz w:val="21"/>
              </w:rPr>
            </w:pPr>
          </w:p>
        </w:tc>
        <w:tc>
          <w:tcPr>
            <w:tcW w:w="724" w:type="dxa"/>
            <w:vAlign w:val="top"/>
          </w:tcPr>
          <w:p w14:paraId="2342FEBE">
            <w:pPr>
              <w:rPr>
                <w:rFonts w:ascii="Arial"/>
                <w:sz w:val="21"/>
              </w:rPr>
            </w:pPr>
          </w:p>
        </w:tc>
      </w:tr>
      <w:tr w14:paraId="076128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9" w:hRule="atLeast"/>
        </w:trPr>
        <w:tc>
          <w:tcPr>
            <w:tcW w:w="1701" w:type="dxa"/>
            <w:tcBorders>
              <w:right w:val="nil"/>
            </w:tcBorders>
            <w:vAlign w:val="top"/>
          </w:tcPr>
          <w:p w14:paraId="1C16A7EB">
            <w:pPr>
              <w:rPr>
                <w:rFonts w:ascii="Arial"/>
                <w:sz w:val="21"/>
              </w:rPr>
            </w:pPr>
          </w:p>
        </w:tc>
        <w:tc>
          <w:tcPr>
            <w:tcW w:w="1458" w:type="dxa"/>
            <w:tcBorders>
              <w:left w:val="nil"/>
              <w:right w:val="nil"/>
            </w:tcBorders>
            <w:vAlign w:val="top"/>
          </w:tcPr>
          <w:p w14:paraId="6403A2F8">
            <w:pPr>
              <w:rPr>
                <w:rFonts w:ascii="Arial"/>
                <w:sz w:val="21"/>
              </w:rPr>
            </w:pPr>
          </w:p>
        </w:tc>
        <w:tc>
          <w:tcPr>
            <w:tcW w:w="320" w:type="dxa"/>
            <w:tcBorders>
              <w:left w:val="nil"/>
              <w:right w:val="nil"/>
            </w:tcBorders>
            <w:vAlign w:val="top"/>
          </w:tcPr>
          <w:p w14:paraId="5F1E8A49">
            <w:pPr>
              <w:pStyle w:val="11"/>
              <w:spacing w:before="164" w:line="165" w:lineRule="exact"/>
              <w:ind w:left="151"/>
              <w:rPr>
                <w:sz w:val="20"/>
                <w:szCs w:val="20"/>
              </w:rPr>
            </w:pPr>
            <w:r>
              <w:rPr>
                <w:position w:val="-2"/>
                <w:sz w:val="20"/>
                <w:szCs w:val="20"/>
              </w:rPr>
              <w:t>E</w:t>
            </w:r>
          </w:p>
        </w:tc>
        <w:tc>
          <w:tcPr>
            <w:tcW w:w="2821" w:type="dxa"/>
            <w:gridSpan w:val="5"/>
            <w:tcBorders>
              <w:left w:val="nil"/>
            </w:tcBorders>
            <w:vAlign w:val="top"/>
          </w:tcPr>
          <w:p w14:paraId="0C8FD613">
            <w:pPr>
              <w:pStyle w:val="11"/>
              <w:spacing w:before="130" w:line="183" w:lineRule="auto"/>
              <w:ind w:left="121"/>
              <w:rPr>
                <w:sz w:val="20"/>
                <w:szCs w:val="20"/>
              </w:rPr>
            </w:pPr>
            <w:r>
              <w:rPr>
                <w:spacing w:val="-3"/>
                <w:sz w:val="20"/>
                <w:szCs w:val="20"/>
              </w:rPr>
              <w:t>d0</w:t>
            </w:r>
          </w:p>
        </w:tc>
      </w:tr>
      <w:tr w14:paraId="618266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98" w:hRule="atLeast"/>
        </w:trPr>
        <w:tc>
          <w:tcPr>
            <w:tcW w:w="1701" w:type="dxa"/>
            <w:tcBorders>
              <w:right w:val="nil"/>
            </w:tcBorders>
            <w:vAlign w:val="top"/>
          </w:tcPr>
          <w:p w14:paraId="485CE3AF">
            <w:pPr>
              <w:spacing w:line="288" w:lineRule="auto"/>
              <w:rPr>
                <w:rFonts w:ascii="Arial"/>
                <w:sz w:val="21"/>
              </w:rPr>
            </w:pPr>
          </w:p>
          <w:p w14:paraId="41D3F435">
            <w:pPr>
              <w:pStyle w:val="11"/>
              <w:spacing w:before="42" w:line="184" w:lineRule="auto"/>
              <w:ind w:left="1035"/>
              <w:rPr>
                <w:sz w:val="13"/>
                <w:szCs w:val="13"/>
              </w:rPr>
            </w:pPr>
            <w:r>
              <w:rPr>
                <w:spacing w:val="-2"/>
                <w:sz w:val="13"/>
                <w:szCs w:val="13"/>
              </w:rPr>
              <w:t>oU1</w:t>
            </w:r>
          </w:p>
        </w:tc>
        <w:tc>
          <w:tcPr>
            <w:tcW w:w="1458" w:type="dxa"/>
            <w:tcBorders>
              <w:left w:val="nil"/>
              <w:right w:val="nil"/>
            </w:tcBorders>
            <w:vAlign w:val="top"/>
          </w:tcPr>
          <w:p w14:paraId="523F9019">
            <w:pPr>
              <w:pStyle w:val="11"/>
              <w:spacing w:before="131"/>
              <w:ind w:left="1189"/>
              <w:rPr>
                <w:sz w:val="13"/>
                <w:szCs w:val="13"/>
              </w:rPr>
            </w:pPr>
            <w:r>
              <w:rPr>
                <w:sz w:val="13"/>
                <w:szCs w:val="13"/>
              </w:rPr>
              <w:t>0</w:t>
            </w:r>
          </w:p>
        </w:tc>
        <w:tc>
          <w:tcPr>
            <w:tcW w:w="320" w:type="dxa"/>
            <w:tcBorders>
              <w:left w:val="nil"/>
              <w:right w:val="nil"/>
            </w:tcBorders>
            <w:vAlign w:val="top"/>
          </w:tcPr>
          <w:p w14:paraId="0E84F258">
            <w:pPr>
              <w:rPr>
                <w:rFonts w:ascii="Arial"/>
                <w:sz w:val="21"/>
              </w:rPr>
            </w:pPr>
          </w:p>
        </w:tc>
        <w:tc>
          <w:tcPr>
            <w:tcW w:w="255" w:type="dxa"/>
            <w:tcBorders>
              <w:left w:val="nil"/>
              <w:right w:val="nil"/>
            </w:tcBorders>
            <w:vAlign w:val="top"/>
          </w:tcPr>
          <w:p w14:paraId="1E0E6340">
            <w:pPr>
              <w:rPr>
                <w:rFonts w:ascii="Arial"/>
                <w:sz w:val="21"/>
              </w:rPr>
            </w:pPr>
          </w:p>
        </w:tc>
        <w:tc>
          <w:tcPr>
            <w:tcW w:w="534" w:type="dxa"/>
            <w:tcBorders>
              <w:left w:val="nil"/>
              <w:right w:val="nil"/>
            </w:tcBorders>
            <w:vAlign w:val="top"/>
          </w:tcPr>
          <w:p w14:paraId="6735EC99">
            <w:pPr>
              <w:pStyle w:val="11"/>
              <w:spacing w:before="182" w:line="239" w:lineRule="auto"/>
              <w:ind w:left="126"/>
              <w:rPr>
                <w:sz w:val="13"/>
                <w:szCs w:val="13"/>
              </w:rPr>
            </w:pPr>
            <w:r>
              <w:rPr>
                <w:sz w:val="13"/>
                <w:szCs w:val="13"/>
              </w:rPr>
              <w:t>?</w:t>
            </w:r>
          </w:p>
        </w:tc>
        <w:tc>
          <w:tcPr>
            <w:tcW w:w="1074" w:type="dxa"/>
            <w:tcBorders>
              <w:left w:val="nil"/>
              <w:right w:val="nil"/>
            </w:tcBorders>
            <w:vAlign w:val="top"/>
          </w:tcPr>
          <w:p w14:paraId="6F2D2A8D">
            <w:pPr>
              <w:pStyle w:val="11"/>
              <w:spacing w:before="132" w:line="184" w:lineRule="exact"/>
              <w:ind w:left="31"/>
              <w:rPr>
                <w:sz w:val="13"/>
                <w:szCs w:val="13"/>
              </w:rPr>
            </w:pPr>
            <w:r>
              <w:rPr>
                <w:position w:val="1"/>
                <w:sz w:val="13"/>
                <w:szCs w:val="13"/>
              </w:rPr>
              <w:t>+</w:t>
            </w:r>
          </w:p>
        </w:tc>
        <w:tc>
          <w:tcPr>
            <w:tcW w:w="958" w:type="dxa"/>
            <w:gridSpan w:val="2"/>
            <w:tcBorders>
              <w:left w:val="nil"/>
            </w:tcBorders>
            <w:vAlign w:val="top"/>
          </w:tcPr>
          <w:p w14:paraId="476382CF">
            <w:pPr>
              <w:rPr>
                <w:rFonts w:ascii="Arial"/>
                <w:sz w:val="21"/>
              </w:rPr>
            </w:pPr>
          </w:p>
        </w:tc>
      </w:tr>
      <w:tr w14:paraId="7E742D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08" w:hRule="atLeast"/>
        </w:trPr>
        <w:tc>
          <w:tcPr>
            <w:tcW w:w="1701" w:type="dxa"/>
            <w:tcBorders>
              <w:right w:val="nil"/>
            </w:tcBorders>
            <w:vAlign w:val="top"/>
          </w:tcPr>
          <w:p w14:paraId="6409D1D1">
            <w:pPr>
              <w:rPr>
                <w:rFonts w:ascii="Arial"/>
                <w:sz w:val="21"/>
              </w:rPr>
            </w:pPr>
          </w:p>
        </w:tc>
        <w:tc>
          <w:tcPr>
            <w:tcW w:w="1458" w:type="dxa"/>
            <w:tcBorders>
              <w:left w:val="nil"/>
              <w:right w:val="nil"/>
            </w:tcBorders>
            <w:vAlign w:val="top"/>
          </w:tcPr>
          <w:p w14:paraId="6F9D82E1">
            <w:pPr>
              <w:rPr>
                <w:rFonts w:ascii="Arial"/>
                <w:sz w:val="21"/>
              </w:rPr>
            </w:pPr>
          </w:p>
        </w:tc>
        <w:tc>
          <w:tcPr>
            <w:tcW w:w="320" w:type="dxa"/>
            <w:tcBorders>
              <w:left w:val="nil"/>
              <w:right w:val="nil"/>
            </w:tcBorders>
            <w:vAlign w:val="top"/>
          </w:tcPr>
          <w:p w14:paraId="1F238CAA">
            <w:pPr>
              <w:rPr>
                <w:rFonts w:ascii="Arial"/>
                <w:sz w:val="21"/>
              </w:rPr>
            </w:pPr>
          </w:p>
        </w:tc>
        <w:tc>
          <w:tcPr>
            <w:tcW w:w="255" w:type="dxa"/>
            <w:tcBorders>
              <w:left w:val="nil"/>
              <w:right w:val="nil"/>
            </w:tcBorders>
            <w:vAlign w:val="top"/>
          </w:tcPr>
          <w:p w14:paraId="43F9EFE2">
            <w:pPr>
              <w:rPr>
                <w:rFonts w:ascii="Arial"/>
                <w:sz w:val="21"/>
              </w:rPr>
            </w:pPr>
          </w:p>
        </w:tc>
        <w:tc>
          <w:tcPr>
            <w:tcW w:w="534" w:type="dxa"/>
            <w:tcBorders>
              <w:left w:val="nil"/>
              <w:right w:val="nil"/>
            </w:tcBorders>
            <w:vAlign w:val="top"/>
          </w:tcPr>
          <w:p w14:paraId="32551ADE">
            <w:pPr>
              <w:rPr>
                <w:rFonts w:ascii="Arial"/>
                <w:sz w:val="21"/>
              </w:rPr>
            </w:pPr>
          </w:p>
        </w:tc>
        <w:tc>
          <w:tcPr>
            <w:tcW w:w="1074" w:type="dxa"/>
            <w:tcBorders>
              <w:left w:val="nil"/>
              <w:right w:val="nil"/>
            </w:tcBorders>
            <w:vAlign w:val="top"/>
          </w:tcPr>
          <w:p w14:paraId="26E78224">
            <w:pPr>
              <w:rPr>
                <w:rFonts w:ascii="Arial"/>
                <w:sz w:val="21"/>
              </w:rPr>
            </w:pPr>
          </w:p>
        </w:tc>
        <w:tc>
          <w:tcPr>
            <w:tcW w:w="958" w:type="dxa"/>
            <w:gridSpan w:val="2"/>
            <w:tcBorders>
              <w:left w:val="nil"/>
            </w:tcBorders>
            <w:vAlign w:val="top"/>
          </w:tcPr>
          <w:p w14:paraId="71897656">
            <w:pPr>
              <w:rPr>
                <w:rFonts w:ascii="Arial"/>
                <w:sz w:val="21"/>
              </w:rPr>
            </w:pPr>
          </w:p>
        </w:tc>
      </w:tr>
      <w:tr w14:paraId="31F485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89" w:hRule="atLeast"/>
        </w:trPr>
        <w:tc>
          <w:tcPr>
            <w:tcW w:w="1701" w:type="dxa"/>
            <w:tcBorders>
              <w:right w:val="nil"/>
            </w:tcBorders>
            <w:vAlign w:val="top"/>
          </w:tcPr>
          <w:p w14:paraId="21DFFDF5">
            <w:pPr>
              <w:pStyle w:val="11"/>
              <w:spacing w:before="26"/>
              <w:ind w:left="15"/>
              <w:rPr>
                <w:sz w:val="13"/>
                <w:szCs w:val="13"/>
              </w:rPr>
            </w:pPr>
            <w:r>
              <w:rPr>
                <w:sz w:val="13"/>
                <w:szCs w:val="13"/>
              </w:rPr>
              <w:t>t</w:t>
            </w:r>
          </w:p>
          <w:p w14:paraId="2359EB69">
            <w:pPr>
              <w:pStyle w:val="11"/>
              <w:spacing w:before="70" w:line="160" w:lineRule="auto"/>
              <w:ind w:left="655"/>
              <w:rPr>
                <w:sz w:val="13"/>
                <w:szCs w:val="13"/>
              </w:rPr>
            </w:pPr>
            <w:r>
              <w:rPr>
                <w:spacing w:val="-1"/>
                <w:sz w:val="13"/>
                <w:szCs w:val="13"/>
              </w:rPr>
              <w:t>47.75</w:t>
            </w:r>
          </w:p>
        </w:tc>
        <w:tc>
          <w:tcPr>
            <w:tcW w:w="1458" w:type="dxa"/>
            <w:tcBorders>
              <w:left w:val="nil"/>
              <w:right w:val="nil"/>
            </w:tcBorders>
            <w:vAlign w:val="top"/>
          </w:tcPr>
          <w:p w14:paraId="0E5BAB41">
            <w:pPr>
              <w:rPr>
                <w:rFonts w:ascii="Arial"/>
                <w:sz w:val="21"/>
              </w:rPr>
            </w:pPr>
          </w:p>
        </w:tc>
        <w:tc>
          <w:tcPr>
            <w:tcW w:w="320" w:type="dxa"/>
            <w:tcBorders>
              <w:left w:val="nil"/>
              <w:right w:val="nil"/>
            </w:tcBorders>
            <w:vAlign w:val="top"/>
          </w:tcPr>
          <w:p w14:paraId="595D26D0">
            <w:pPr>
              <w:rPr>
                <w:rFonts w:ascii="Arial"/>
                <w:sz w:val="21"/>
              </w:rPr>
            </w:pPr>
          </w:p>
        </w:tc>
        <w:tc>
          <w:tcPr>
            <w:tcW w:w="255" w:type="dxa"/>
            <w:tcBorders>
              <w:left w:val="nil"/>
              <w:right w:val="nil"/>
            </w:tcBorders>
            <w:vAlign w:val="top"/>
          </w:tcPr>
          <w:p w14:paraId="4BBFD303">
            <w:pPr>
              <w:pStyle w:val="11"/>
              <w:spacing w:before="266" w:line="160" w:lineRule="auto"/>
              <w:ind w:left="81"/>
              <w:rPr>
                <w:sz w:val="13"/>
                <w:szCs w:val="13"/>
              </w:rPr>
            </w:pPr>
            <w:r>
              <w:rPr>
                <w:sz w:val="13"/>
                <w:szCs w:val="13"/>
              </w:rPr>
              <w:t>9</w:t>
            </w:r>
          </w:p>
        </w:tc>
        <w:tc>
          <w:tcPr>
            <w:tcW w:w="534" w:type="dxa"/>
            <w:tcBorders>
              <w:left w:val="nil"/>
              <w:right w:val="nil"/>
            </w:tcBorders>
            <w:vAlign w:val="top"/>
          </w:tcPr>
          <w:p w14:paraId="79CC6C5E">
            <w:pPr>
              <w:rPr>
                <w:rFonts w:ascii="Arial"/>
                <w:sz w:val="21"/>
              </w:rPr>
            </w:pPr>
          </w:p>
        </w:tc>
        <w:tc>
          <w:tcPr>
            <w:tcW w:w="1074" w:type="dxa"/>
            <w:tcBorders>
              <w:left w:val="nil"/>
              <w:right w:val="nil"/>
            </w:tcBorders>
            <w:vAlign w:val="top"/>
          </w:tcPr>
          <w:p w14:paraId="4B9A0EC4">
            <w:pPr>
              <w:rPr>
                <w:rFonts w:ascii="Arial"/>
                <w:sz w:val="21"/>
              </w:rPr>
            </w:pPr>
          </w:p>
        </w:tc>
        <w:tc>
          <w:tcPr>
            <w:tcW w:w="958" w:type="dxa"/>
            <w:gridSpan w:val="2"/>
            <w:tcBorders>
              <w:left w:val="nil"/>
            </w:tcBorders>
            <w:vAlign w:val="top"/>
          </w:tcPr>
          <w:p w14:paraId="0FAE5BC5">
            <w:pPr>
              <w:rPr>
                <w:rFonts w:ascii="Arial"/>
                <w:sz w:val="21"/>
              </w:rPr>
            </w:pPr>
          </w:p>
        </w:tc>
      </w:tr>
      <w:tr w14:paraId="38110A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701" w:type="dxa"/>
            <w:tcBorders>
              <w:right w:val="nil"/>
            </w:tcBorders>
            <w:vAlign w:val="top"/>
          </w:tcPr>
          <w:p w14:paraId="104767E6">
            <w:pPr>
              <w:pStyle w:val="11"/>
              <w:spacing w:before="247" w:line="166" w:lineRule="auto"/>
              <w:ind w:left="15"/>
              <w:rPr>
                <w:sz w:val="13"/>
                <w:szCs w:val="13"/>
              </w:rPr>
            </w:pPr>
            <w:r>
              <w:rPr>
                <w:spacing w:val="-1"/>
                <w:sz w:val="13"/>
                <w:szCs w:val="13"/>
              </w:rPr>
              <w:t>tataBuraofhrotnadll</w:t>
            </w:r>
          </w:p>
        </w:tc>
        <w:tc>
          <w:tcPr>
            <w:tcW w:w="1458" w:type="dxa"/>
            <w:tcBorders>
              <w:left w:val="nil"/>
              <w:right w:val="nil"/>
            </w:tcBorders>
            <w:vAlign w:val="top"/>
          </w:tcPr>
          <w:p w14:paraId="2DEF391C">
            <w:pPr>
              <w:pStyle w:val="11"/>
              <w:spacing w:before="227" w:line="194" w:lineRule="auto"/>
              <w:ind w:left="479"/>
              <w:rPr>
                <w:sz w:val="13"/>
                <w:szCs w:val="13"/>
              </w:rPr>
            </w:pPr>
            <w:r>
              <w:rPr>
                <w:spacing w:val="-1"/>
                <w:sz w:val="13"/>
                <w:szCs w:val="13"/>
              </w:rPr>
              <w:t>lhflnmamnuann</w:t>
            </w:r>
          </w:p>
        </w:tc>
        <w:tc>
          <w:tcPr>
            <w:tcW w:w="320" w:type="dxa"/>
            <w:tcBorders>
              <w:left w:val="nil"/>
              <w:right w:val="nil"/>
            </w:tcBorders>
            <w:vAlign w:val="top"/>
          </w:tcPr>
          <w:p w14:paraId="3B7C26BC">
            <w:pPr>
              <w:rPr>
                <w:rFonts w:ascii="Arial"/>
                <w:sz w:val="21"/>
              </w:rPr>
            </w:pPr>
          </w:p>
        </w:tc>
        <w:tc>
          <w:tcPr>
            <w:tcW w:w="255" w:type="dxa"/>
            <w:tcBorders>
              <w:left w:val="nil"/>
              <w:right w:val="nil"/>
            </w:tcBorders>
            <w:vAlign w:val="top"/>
          </w:tcPr>
          <w:p w14:paraId="3C8ED388">
            <w:pPr>
              <w:rPr>
                <w:rFonts w:ascii="Arial"/>
                <w:sz w:val="21"/>
              </w:rPr>
            </w:pPr>
          </w:p>
        </w:tc>
        <w:tc>
          <w:tcPr>
            <w:tcW w:w="534" w:type="dxa"/>
            <w:tcBorders>
              <w:left w:val="nil"/>
              <w:right w:val="nil"/>
            </w:tcBorders>
            <w:vAlign w:val="top"/>
          </w:tcPr>
          <w:p w14:paraId="6A612FC2">
            <w:pPr>
              <w:pStyle w:val="11"/>
              <w:spacing w:before="227" w:line="194" w:lineRule="auto"/>
              <w:ind w:left="187"/>
              <w:rPr>
                <w:sz w:val="13"/>
                <w:szCs w:val="13"/>
              </w:rPr>
            </w:pPr>
            <w:r>
              <w:rPr>
                <w:spacing w:val="-2"/>
                <w:sz w:val="13"/>
                <w:szCs w:val="13"/>
              </w:rPr>
              <w:t>aelaw</w:t>
            </w:r>
          </w:p>
        </w:tc>
        <w:tc>
          <w:tcPr>
            <w:tcW w:w="1074" w:type="dxa"/>
            <w:tcBorders>
              <w:left w:val="nil"/>
              <w:right w:val="nil"/>
            </w:tcBorders>
            <w:vAlign w:val="top"/>
          </w:tcPr>
          <w:p w14:paraId="503EBE62">
            <w:pPr>
              <w:pStyle w:val="11"/>
              <w:spacing w:before="247" w:line="166" w:lineRule="auto"/>
              <w:ind w:left="532"/>
              <w:rPr>
                <w:sz w:val="13"/>
                <w:szCs w:val="13"/>
              </w:rPr>
            </w:pPr>
            <w:r>
              <w:rPr>
                <w:spacing w:val="-3"/>
                <w:sz w:val="13"/>
                <w:szCs w:val="13"/>
              </w:rPr>
              <w:t>fhr</w:t>
            </w:r>
          </w:p>
        </w:tc>
        <w:tc>
          <w:tcPr>
            <w:tcW w:w="958" w:type="dxa"/>
            <w:gridSpan w:val="2"/>
            <w:tcBorders>
              <w:left w:val="nil"/>
            </w:tcBorders>
            <w:vAlign w:val="top"/>
          </w:tcPr>
          <w:p w14:paraId="2950D4EE">
            <w:pPr>
              <w:pStyle w:val="11"/>
              <w:spacing w:before="268" w:line="96" w:lineRule="exact"/>
              <w:ind w:right="6"/>
              <w:jc w:val="right"/>
              <w:rPr>
                <w:sz w:val="13"/>
                <w:szCs w:val="13"/>
              </w:rPr>
            </w:pPr>
            <w:r>
              <w:rPr>
                <w:spacing w:val="-1"/>
                <w:position w:val="-2"/>
                <w:sz w:val="13"/>
                <w:szCs w:val="13"/>
              </w:rPr>
              <w:t>onoDmDTac</w:t>
            </w:r>
          </w:p>
        </w:tc>
      </w:tr>
    </w:tbl>
    <w:p w14:paraId="7E66F7D8">
      <w:pPr>
        <w:spacing w:before="114" w:line="6570" w:lineRule="exact"/>
      </w:pPr>
      <w:r>
        <w:rPr>
          <w:position w:val="-131"/>
        </w:rPr>
        <w:drawing>
          <wp:inline distT="0" distB="0" distL="0" distR="0">
            <wp:extent cx="4088765" cy="4171315"/>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613"/>
                    <a:stretch>
                      <a:fillRect/>
                    </a:stretch>
                  </pic:blipFill>
                  <pic:spPr>
                    <a:xfrm>
                      <a:off x="0" y="0"/>
                      <a:ext cx="4089388" cy="4171918"/>
                    </a:xfrm>
                    <a:prstGeom prst="rect">
                      <a:avLst/>
                    </a:prstGeom>
                  </pic:spPr>
                </pic:pic>
              </a:graphicData>
            </a:graphic>
          </wp:inline>
        </w:drawing>
      </w:r>
    </w:p>
    <w:p w14:paraId="1CB3AF87">
      <w:pPr>
        <w:spacing w:before="186" w:line="221" w:lineRule="auto"/>
        <w:ind w:left="1689"/>
        <w:rPr>
          <w:rFonts w:ascii="黑体" w:hAnsi="黑体" w:eastAsia="黑体" w:cs="黑体"/>
          <w:sz w:val="17"/>
          <w:szCs w:val="17"/>
        </w:rPr>
      </w:pPr>
      <w:r>
        <w:rPr>
          <w:rFonts w:ascii="黑体" w:hAnsi="黑体" w:eastAsia="黑体" w:cs="黑体"/>
          <w:spacing w:val="4"/>
          <w:sz w:val="17"/>
          <w:szCs w:val="17"/>
        </w:rPr>
        <w:t>图</w:t>
      </w:r>
      <w:r>
        <w:rPr>
          <w:rFonts w:ascii="黑体" w:hAnsi="黑体" w:eastAsia="黑体" w:cs="黑体"/>
          <w:spacing w:val="-18"/>
          <w:sz w:val="17"/>
          <w:szCs w:val="17"/>
        </w:rPr>
        <w:t xml:space="preserve"> </w:t>
      </w:r>
      <w:r>
        <w:rPr>
          <w:rFonts w:ascii="黑体" w:hAnsi="黑体" w:eastAsia="黑体" w:cs="黑体"/>
          <w:spacing w:val="4"/>
          <w:sz w:val="17"/>
          <w:szCs w:val="17"/>
        </w:rPr>
        <w:t>3</w:t>
      </w:r>
      <w:r>
        <w:rPr>
          <w:rFonts w:ascii="黑体" w:hAnsi="黑体" w:eastAsia="黑体" w:cs="黑体"/>
          <w:spacing w:val="-25"/>
          <w:sz w:val="17"/>
          <w:szCs w:val="17"/>
        </w:rPr>
        <w:t xml:space="preserve"> </w:t>
      </w:r>
      <w:r>
        <w:rPr>
          <w:rFonts w:ascii="黑体" w:hAnsi="黑体" w:eastAsia="黑体" w:cs="黑体"/>
          <w:spacing w:val="4"/>
          <w:sz w:val="17"/>
          <w:szCs w:val="17"/>
        </w:rPr>
        <w:t>-</w:t>
      </w:r>
      <w:r>
        <w:rPr>
          <w:rFonts w:ascii="黑体" w:hAnsi="黑体" w:eastAsia="黑体" w:cs="黑体"/>
          <w:spacing w:val="-22"/>
          <w:sz w:val="17"/>
          <w:szCs w:val="17"/>
        </w:rPr>
        <w:t xml:space="preserve"> </w:t>
      </w:r>
      <w:r>
        <w:rPr>
          <w:rFonts w:ascii="黑体" w:hAnsi="黑体" w:eastAsia="黑体" w:cs="黑体"/>
          <w:spacing w:val="4"/>
          <w:sz w:val="17"/>
          <w:szCs w:val="17"/>
        </w:rPr>
        <w:t>7</w:t>
      </w:r>
      <w:r>
        <w:rPr>
          <w:rFonts w:ascii="黑体" w:hAnsi="黑体" w:eastAsia="黑体" w:cs="黑体"/>
          <w:spacing w:val="2"/>
          <w:sz w:val="17"/>
          <w:szCs w:val="17"/>
        </w:rPr>
        <w:t xml:space="preserve">  </w:t>
      </w:r>
      <w:r>
        <w:rPr>
          <w:rFonts w:ascii="黑体" w:hAnsi="黑体" w:eastAsia="黑体" w:cs="黑体"/>
          <w:spacing w:val="4"/>
          <w:sz w:val="17"/>
          <w:szCs w:val="17"/>
        </w:rPr>
        <w:t>短期图形的几种重要整理形态</w:t>
      </w:r>
    </w:p>
    <w:p w14:paraId="64932104">
      <w:pPr>
        <w:spacing w:line="221" w:lineRule="auto"/>
        <w:rPr>
          <w:rFonts w:ascii="黑体" w:hAnsi="黑体" w:eastAsia="黑体" w:cs="黑体"/>
          <w:sz w:val="17"/>
          <w:szCs w:val="17"/>
        </w:rPr>
        <w:sectPr>
          <w:pgSz w:w="8740" w:h="13340"/>
          <w:pgMar w:top="400" w:right="1218" w:bottom="613" w:left="760" w:header="0" w:footer="451" w:gutter="0"/>
          <w:cols w:space="720" w:num="1"/>
        </w:sectPr>
      </w:pPr>
    </w:p>
    <w:p w14:paraId="2CDC005F">
      <w:pPr>
        <w:spacing w:line="401" w:lineRule="auto"/>
        <w:rPr>
          <w:rFonts w:ascii="Arial"/>
          <w:sz w:val="21"/>
        </w:rPr>
      </w:pPr>
    </w:p>
    <w:p w14:paraId="02FDE2BE">
      <w:pPr>
        <w:pStyle w:val="7"/>
        <w:spacing w:before="71" w:line="305" w:lineRule="auto"/>
        <w:ind w:right="19" w:firstLine="429"/>
        <w:jc w:val="both"/>
        <w:rPr>
          <w:sz w:val="22"/>
          <w:szCs w:val="22"/>
        </w:rPr>
      </w:pPr>
      <w:r>
        <w:rPr>
          <w:sz w:val="22"/>
          <w:szCs w:val="22"/>
        </w:rPr>
        <w:t>图3-8中的个股处于大底部，如果周线级别出现上述持续近1年的整理</w:t>
      </w:r>
      <w:r>
        <w:rPr>
          <w:spacing w:val="16"/>
          <w:sz w:val="22"/>
          <w:szCs w:val="22"/>
        </w:rPr>
        <w:t xml:space="preserve"> </w:t>
      </w:r>
      <w:r>
        <w:rPr>
          <w:spacing w:val="-18"/>
          <w:sz w:val="22"/>
          <w:szCs w:val="22"/>
        </w:rPr>
        <w:t>形态，一旦出现放量突破平台，上涨的级别</w:t>
      </w:r>
      <w:r>
        <w:rPr>
          <w:spacing w:val="-19"/>
          <w:sz w:val="22"/>
          <w:szCs w:val="22"/>
        </w:rPr>
        <w:t>就会很大，因为这是底部大级别强势</w:t>
      </w:r>
      <w:r>
        <w:rPr>
          <w:sz w:val="22"/>
          <w:szCs w:val="22"/>
        </w:rPr>
        <w:t xml:space="preserve"> </w:t>
      </w:r>
      <w:r>
        <w:rPr>
          <w:spacing w:val="-9"/>
          <w:sz w:val="22"/>
          <w:szCs w:val="22"/>
        </w:rPr>
        <w:t>建仓洗盘的图形。</w:t>
      </w:r>
    </w:p>
    <w:p w14:paraId="2CD0F01C">
      <w:pPr>
        <w:spacing w:before="111" w:line="3590" w:lineRule="exact"/>
        <w:ind w:firstLine="49"/>
      </w:pPr>
      <w:r>
        <w:rPr>
          <w:position w:val="-71"/>
        </w:rPr>
        <w:drawing>
          <wp:inline distT="0" distB="0" distL="0" distR="0">
            <wp:extent cx="4438650" cy="2279015"/>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614"/>
                    <a:stretch>
                      <a:fillRect/>
                    </a:stretch>
                  </pic:blipFill>
                  <pic:spPr>
                    <a:xfrm>
                      <a:off x="0" y="0"/>
                      <a:ext cx="4438675" cy="2279628"/>
                    </a:xfrm>
                    <a:prstGeom prst="rect">
                      <a:avLst/>
                    </a:prstGeom>
                  </pic:spPr>
                </pic:pic>
              </a:graphicData>
            </a:graphic>
          </wp:inline>
        </w:drawing>
      </w:r>
    </w:p>
    <w:p w14:paraId="59E8F236">
      <w:pPr>
        <w:pStyle w:val="7"/>
        <w:spacing w:before="165" w:line="222" w:lineRule="auto"/>
        <w:ind w:left="2472"/>
        <w:rPr>
          <w:rFonts w:ascii="黑体" w:hAnsi="黑体" w:eastAsia="黑体" w:cs="黑体"/>
        </w:rPr>
      </w:pPr>
      <w:r>
        <w:rPr>
          <w:b/>
          <w:bCs/>
          <w:spacing w:val="3"/>
        </w:rPr>
        <w:t>图</w:t>
      </w:r>
      <w:r>
        <w:rPr>
          <w:spacing w:val="-10"/>
        </w:rPr>
        <w:t xml:space="preserve"> </w:t>
      </w:r>
      <w:r>
        <w:rPr>
          <w:b/>
          <w:bCs/>
          <w:spacing w:val="3"/>
        </w:rPr>
        <w:t>3</w:t>
      </w:r>
      <w:r>
        <w:rPr>
          <w:spacing w:val="-21"/>
        </w:rPr>
        <w:t xml:space="preserve"> </w:t>
      </w:r>
      <w:r>
        <w:rPr>
          <w:b/>
          <w:bCs/>
          <w:spacing w:val="3"/>
        </w:rPr>
        <w:t>-</w:t>
      </w:r>
      <w:r>
        <w:rPr>
          <w:spacing w:val="-20"/>
        </w:rPr>
        <w:t xml:space="preserve"> </w:t>
      </w:r>
      <w:r>
        <w:rPr>
          <w:b/>
          <w:bCs/>
          <w:spacing w:val="3"/>
        </w:rPr>
        <w:t>8</w:t>
      </w:r>
      <w:r>
        <w:rPr>
          <w:spacing w:val="1"/>
        </w:rPr>
        <w:t xml:space="preserve">  </w:t>
      </w:r>
      <w:r>
        <w:rPr>
          <w:rFonts w:ascii="黑体" w:hAnsi="黑体" w:eastAsia="黑体" w:cs="黑体"/>
          <w:spacing w:val="3"/>
        </w:rPr>
        <w:t>起涨前的图形形态</w:t>
      </w:r>
    </w:p>
    <w:p w14:paraId="20DDE49C">
      <w:pPr>
        <w:spacing w:line="333" w:lineRule="auto"/>
        <w:rPr>
          <w:rFonts w:ascii="Arial"/>
          <w:sz w:val="21"/>
        </w:rPr>
      </w:pPr>
    </w:p>
    <w:p w14:paraId="1415C78E">
      <w:pPr>
        <w:pStyle w:val="7"/>
        <w:spacing w:before="72" w:line="312" w:lineRule="auto"/>
        <w:ind w:right="24" w:firstLine="429"/>
        <w:jc w:val="both"/>
        <w:rPr>
          <w:sz w:val="22"/>
          <w:szCs w:val="22"/>
        </w:rPr>
      </w:pPr>
      <w:r>
        <w:rPr>
          <w:spacing w:val="-6"/>
          <w:sz w:val="22"/>
          <w:szCs w:val="22"/>
        </w:rPr>
        <w:t>图3—8展现的起涨前的图形形态与量价关系大家一</w:t>
      </w:r>
      <w:r>
        <w:rPr>
          <w:spacing w:val="-7"/>
          <w:sz w:val="22"/>
          <w:szCs w:val="22"/>
        </w:rPr>
        <w:t>定要掌握。这些形态</w:t>
      </w:r>
      <w:r>
        <w:rPr>
          <w:sz w:val="22"/>
          <w:szCs w:val="22"/>
        </w:rPr>
        <w:t xml:space="preserve"> </w:t>
      </w:r>
      <w:r>
        <w:rPr>
          <w:spacing w:val="-6"/>
          <w:sz w:val="22"/>
          <w:szCs w:val="22"/>
        </w:rPr>
        <w:t>是趋势牛股在见到历史阶段最低价后走出来的</w:t>
      </w:r>
      <w:r>
        <w:rPr>
          <w:spacing w:val="-7"/>
          <w:sz w:val="22"/>
          <w:szCs w:val="22"/>
        </w:rPr>
        <w:t>趋势突破底部形态。这些形态</w:t>
      </w:r>
      <w:r>
        <w:rPr>
          <w:sz w:val="22"/>
          <w:szCs w:val="22"/>
        </w:rPr>
        <w:t xml:space="preserve"> </w:t>
      </w:r>
      <w:r>
        <w:rPr>
          <w:spacing w:val="-12"/>
          <w:sz w:val="22"/>
          <w:szCs w:val="22"/>
        </w:rPr>
        <w:t>为我们寻找与判断趋势牛股提供了重要的决策信息。</w:t>
      </w:r>
    </w:p>
    <w:sectPr>
      <w:pgSz w:w="8770" w:h="13360"/>
      <w:pgMar w:top="0" w:right="0" w:bottom="0" w:left="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2010609060101010101"/>
    <w:charset w:val="86"/>
    <w:family w:val="auto"/>
    <w:pitch w:val="default"/>
    <w:sig w:usb0="00000000" w:usb1="00000000" w:usb2="00000016" w:usb3="00000000" w:csb0="00040001" w:csb1="00000000"/>
  </w:font>
  <w:font w:name="FangSong">
    <w:altName w:val="仿宋-简"/>
    <w:panose1 w:val="02010609060101010101"/>
    <w:charset w:val="86"/>
    <w:family w:val="auto"/>
    <w:pitch w:val="default"/>
    <w:sig w:usb0="00000000" w:usb1="00000000" w:usb2="00000016" w:usb3="00000000" w:csb0="00040001" w:csb1="00000000"/>
  </w:font>
  <w:font w:name="KaiTi">
    <w:altName w:val="汉仪楷体KW"/>
    <w:panose1 w:val="02010609060101010101"/>
    <w:charset w:val="86"/>
    <w:family w:val="auto"/>
    <w:pitch w:val="default"/>
    <w:sig w:usb0="00000000" w:usb1="00000000" w:usb2="00000016" w:usb3="00000000" w:csb0="00040001" w:csb1="00000000"/>
  </w:font>
  <w:font w:name="STXingkai">
    <w:altName w:val="宋体-简"/>
    <w:panose1 w:val="02010800040101010101"/>
    <w:charset w:val="86"/>
    <w:family w:val="auto"/>
    <w:pitch w:val="default"/>
    <w:sig w:usb0="00000000" w:usb1="00000000" w:usb2="00000000" w:usb3="00000000" w:csb0="00040000" w:csb1="00000000"/>
  </w:font>
  <w:font w:name="LiSu">
    <w:altName w:val="报隶-简"/>
    <w:panose1 w:val="02010509060101010101"/>
    <w:charset w:val="86"/>
    <w:family w:val="auto"/>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报隶-简">
    <w:panose1 w:val="02010600040101010101"/>
    <w:charset w:val="86"/>
    <w:family w:val="auto"/>
    <w:pitch w:val="default"/>
    <w:sig w:usb0="80000287" w:usb1="280F3C52" w:usb2="00000016" w:usb3="00000000" w:csb0="0004001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4"/>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7FF71DA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7">
    <w:name w:val="Body Text"/>
    <w:basedOn w:val="1"/>
    <w:semiHidden/>
    <w:qFormat/>
    <w:uiPriority w:val="0"/>
    <w:rPr>
      <w:rFonts w:ascii="宋体" w:hAnsi="宋体" w:eastAsia="宋体" w:cs="宋体"/>
      <w:sz w:val="17"/>
      <w:szCs w:val="17"/>
      <w:lang w:val="en-US" w:eastAsia="en-US" w:bidi="ar-SA"/>
    </w:rPr>
  </w:style>
  <w:style w:type="table" w:customStyle="1" w:styleId="10">
    <w:name w:val="Table Normal"/>
    <w:semiHidden/>
    <w:unhideWhenUsed/>
    <w:qFormat/>
    <w:uiPriority w:val="0"/>
    <w:tblPr>
      <w:tblCellMar>
        <w:top w:w="0" w:type="dxa"/>
        <w:left w:w="0" w:type="dxa"/>
        <w:bottom w:w="0" w:type="dxa"/>
        <w:right w:w="0" w:type="dxa"/>
      </w:tblCellMar>
    </w:tblPr>
  </w:style>
  <w:style w:type="paragraph" w:customStyle="1" w:styleId="11">
    <w:name w:val="Table Text"/>
    <w:basedOn w:val="1"/>
    <w:semiHidden/>
    <w:qFormat/>
    <w:uiPriority w:val="0"/>
    <w:rPr>
      <w:rFonts w:ascii="宋体" w:hAnsi="宋体" w:eastAsia="宋体" w:cs="宋体"/>
      <w:sz w:val="18"/>
      <w:szCs w:val="18"/>
      <w:lang w:val="en-US" w:eastAsia="en-US" w:bidi="ar-SA"/>
    </w:rPr>
  </w:style>
</w:styles>
</file>

<file path=word/_rels/document.xml.rels><?xml version='1.0' encoding='UTF-8' standalone='yes'?>
<Relationships xmlns="http://schemas.openxmlformats.org/package/2006/relationships"><Relationship Id="rId644" Type="http://schemas.openxmlformats.org/officeDocument/2006/relationships/fontTable" Target="fontTable.xml"/><Relationship Id="rId643" Type="http://schemas.openxmlformats.org/officeDocument/2006/relationships/customXml" Target="../customXml/item1.xml"/><Relationship Id="rId614" Type="http://schemas.openxmlformats.org/officeDocument/2006/relationships/image" Target="media/image111.jpeg"/><Relationship Id="rId613" Type="http://schemas.openxmlformats.org/officeDocument/2006/relationships/image" Target="media/image110.png"/><Relationship Id="rId612" Type="http://schemas.openxmlformats.org/officeDocument/2006/relationships/image" Target="media/image109.png"/><Relationship Id="rId611" Type="http://schemas.openxmlformats.org/officeDocument/2006/relationships/image" Target="media/image108.jpeg"/><Relationship Id="rId610" Type="http://schemas.openxmlformats.org/officeDocument/2006/relationships/image" Target="media/image107.jpeg"/><Relationship Id="rId609" Type="http://schemas.openxmlformats.org/officeDocument/2006/relationships/image" Target="media/image106.jpeg"/><Relationship Id="rId608" Type="http://schemas.openxmlformats.org/officeDocument/2006/relationships/image" Target="media/image105.jpeg"/><Relationship Id="rId607" Type="http://schemas.openxmlformats.org/officeDocument/2006/relationships/image" Target="media/image104.jpeg"/><Relationship Id="rId606" Type="http://schemas.openxmlformats.org/officeDocument/2006/relationships/image" Target="media/image103.jpeg"/><Relationship Id="rId510"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1026"/>
    <customShpInfo spid="_x0000_s1027"/>
    <customShpInfo spid="_x0000_s1029"/>
    <customShpInfo spid="_x0000_s1030"/>
    <customShpInfo spid="_x0000_s1031"/>
    <customShpInfo spid="_x0000_s1032"/>
    <customShpInfo spid="_x0000_s1033"/>
    <customShpInfo spid="_x0000_s1034"/>
    <customShpInfo spid="_x0000_s1035"/>
    <customShpInfo spid="_x0000_s1028"/>
    <customShpInfo spid="_x0000_s1036"/>
    <customShpInfo spid="_x0000_s1038"/>
    <customShpInfo spid="_x0000_s1039"/>
    <customShpInfo spid="_x0000_s1037"/>
    <customShpInfo spid="_x0000_s1041"/>
    <customShpInfo spid="_x0000_s1042"/>
    <customShpInfo spid="_x0000_s1043"/>
    <customShpInfo spid="_x0000_s1040"/>
    <customShpInfo spid="_x0000_s1045"/>
    <customShpInfo spid="_x0000_s1046"/>
    <customShpInfo spid="_x0000_s1044"/>
    <customShpInfo spid="_x0000_s1048"/>
    <customShpInfo spid="_x0000_s1049"/>
    <customShpInfo spid="_x0000_s1047"/>
    <customShpInfo spid="_x0000_s1050"/>
    <customShpInfo spid="_x0000_s1051"/>
    <customShpInfo spid="_x0000_s1053"/>
    <customShpInfo spid="_x0000_s1054"/>
    <customShpInfo spid="_x0000_s1052"/>
    <customShpInfo spid="_x0000_s1055"/>
    <customShpInfo spid="_x0000_s1056"/>
    <customShpInfo spid="_x0000_s1057"/>
    <customShpInfo spid="_x0000_s1058"/>
    <customShpInfo spid="_x0000_s1060"/>
    <customShpInfo spid="_x0000_s1061"/>
    <customShpInfo spid="_x0000_s1059"/>
    <customShpInfo spid="_x0000_s1063"/>
    <customShpInfo spid="_x0000_s1064"/>
    <customShpInfo spid="_x0000_s1062"/>
    <customShpInfo spid="_x0000_s1066"/>
    <customShpInfo spid="_x0000_s1067"/>
    <customShpInfo spid="_x0000_s1065"/>
    <customShpInfo spid="_x0000_s1068"/>
    <customShpInfo spid="_x0000_s1070"/>
    <customShpInfo spid="_x0000_s1071"/>
    <customShpInfo spid="_x0000_s1072"/>
    <customShpInfo spid="_x0000_s1073"/>
    <customShpInfo spid="_x0000_s1069"/>
    <customShpInfo spid="_x0000_s1075"/>
    <customShpInfo spid="_x0000_s1076"/>
    <customShpInfo spid="_x0000_s1074"/>
    <customShpInfo spid="_x0000_s1078"/>
    <customShpInfo spid="_x0000_s1079"/>
    <customShpInfo spid="_x0000_s1080"/>
    <customShpInfo spid="_x0000_s1077"/>
    <customShpInfo spid="_x0000_s1082"/>
    <customShpInfo spid="_x0000_s1083"/>
    <customShpInfo spid="_x0000_s1081"/>
    <customShpInfo spid="_x0000_s1085"/>
    <customShpInfo spid="_x0000_s1086"/>
    <customShpInfo spid="_x0000_s1084"/>
    <customShpInfo spid="_x0000_s1087"/>
    <customShpInfo spid="_x0000_s1088"/>
    <customShpInfo spid="_x0000_s1089"/>
    <customShpInfo spid="_x0000_s1091"/>
    <customShpInfo spid="_x0000_s1092"/>
    <customShpInfo spid="_x0000_s1093"/>
    <customShpInfo spid="_x0000_s1090"/>
    <customShpInfo spid="_x0000_s1095"/>
    <customShpInfo spid="_x0000_s1096"/>
    <customShpInfo spid="_x0000_s1094"/>
    <customShpInfo spid="_x0000_s1098"/>
    <customShpInfo spid="_x0000_s1099"/>
    <customShpInfo spid="_x0000_s1097"/>
    <customShpInfo spid="_x0000_s1101"/>
    <customShpInfo spid="_x0000_s1102"/>
    <customShpInfo spid="_x0000_s1100"/>
    <customShpInfo spid="_x0000_s1104"/>
    <customShpInfo spid="_x0000_s1105"/>
    <customShpInfo spid="_x0000_s1103"/>
    <customShpInfo spid="_x0000_s1107"/>
    <customShpInfo spid="_x0000_s1108"/>
    <customShpInfo spid="_x0000_s1106"/>
    <customShpInfo spid="_x0000_s1110"/>
    <customShpInfo spid="_x0000_s1111"/>
    <customShpInfo spid="_x0000_s1109"/>
    <customShpInfo spid="_x0000_s1113"/>
    <customShpInfo spid="_x0000_s1114"/>
    <customShpInfo spid="_x0000_s1112"/>
    <customShpInfo spid="_x0000_s1116"/>
    <customShpInfo spid="_x0000_s1117"/>
    <customShpInfo spid="_x0000_s1118"/>
    <customShpInfo spid="_x0000_s1115"/>
    <customShpInfo spid="_x0000_s1120"/>
    <customShpInfo spid="_x0000_s1121"/>
    <customShpInfo spid="_x0000_s1119"/>
    <customShpInfo spid="_x0000_s1123"/>
    <customShpInfo spid="_x0000_s1124"/>
    <customShpInfo spid="_x0000_s1125"/>
    <customShpInfo spid="_x0000_s1122"/>
    <customShpInfo spid="_x0000_s1127"/>
    <customShpInfo spid="_x0000_s1128"/>
    <customShpInfo spid="_x0000_s1126"/>
    <customShpInfo spid="_x0000_s1130"/>
    <customShpInfo spid="_x0000_s1131"/>
    <customShpInfo spid="_x0000_s1132"/>
    <customShpInfo spid="_x0000_s1133"/>
    <customShpInfo spid="_x0000_s1134"/>
    <customShpInfo spid="_x0000_s1129"/>
    <customShpInfo spid="_x0000_s1136"/>
    <customShpInfo spid="_x0000_s1137"/>
    <customShpInfo spid="_x0000_s1135"/>
    <customShpInfo spid="_x0000_s1139"/>
    <customShpInfo spid="_x0000_s1140"/>
    <customShpInfo spid="_x0000_s1138"/>
    <customShpInfo spid="_x0000_s1141"/>
    <customShpInfo spid="_x0000_s1143"/>
    <customShpInfo spid="_x0000_s1144"/>
    <customShpInfo spid="_x0000_s1142"/>
    <customShpInfo spid="_x0000_s1146"/>
    <customShpInfo spid="_x0000_s1147"/>
    <customShpInfo spid="_x0000_s1148"/>
    <customShpInfo spid="_x0000_s1145"/>
    <customShpInfo spid="_x0000_s1150"/>
    <customShpInfo spid="_x0000_s1151"/>
    <customShpInfo spid="_x0000_s1152"/>
    <customShpInfo spid="_x0000_s1153"/>
    <customShpInfo spid="_x0000_s1154"/>
    <customShpInfo spid="_x0000_s1149"/>
    <customShpInfo spid="_x0000_s1156"/>
    <customShpInfo spid="_x0000_s1157"/>
    <customShpInfo spid="_x0000_s1155"/>
    <customShpInfo spid="_x0000_s1158"/>
    <customShpInfo spid="_x0000_s1160"/>
    <customShpInfo spid="_x0000_s1161"/>
    <customShpInfo spid="_x0000_s1162"/>
    <customShpInfo spid="_x0000_s1163"/>
    <customShpInfo spid="_x0000_s1164"/>
    <customShpInfo spid="_x0000_s1165"/>
    <customShpInfo spid="_x0000_s1166"/>
    <customShpInfo spid="_x0000_s1167"/>
    <customShpInfo spid="_x0000_s1159"/>
    <customShpInfo spid="_x0000_s1168"/>
    <customShpInfo spid="_x0000_s1169"/>
    <customShpInfo spid="_x0000_s1171"/>
    <customShpInfo spid="_x0000_s1172"/>
    <customShpInfo spid="_x0000_s1173"/>
    <customShpInfo spid="_x0000_s1170"/>
    <customShpInfo spid="_x0000_s1174"/>
    <customShpInfo spid="_x0000_s1176"/>
    <customShpInfo spid="_x0000_s1177"/>
    <customShpInfo spid="_x0000_s1175"/>
    <customShpInfo spid="_x0000_s1179"/>
    <customShpInfo spid="_x0000_s1180"/>
    <customShpInfo spid="_x0000_s1181"/>
    <customShpInfo spid="_x0000_s1178"/>
    <customShpInfo spid="_x0000_s1183"/>
    <customShpInfo spid="_x0000_s1184"/>
    <customShpInfo spid="_x0000_s1185"/>
    <customShpInfo spid="_x0000_s1186"/>
    <customShpInfo spid="_x0000_s1182"/>
    <customShpInfo spid="_x0000_s1188"/>
    <customShpInfo spid="_x0000_s1189"/>
    <customShpInfo spid="_x0000_s1187"/>
    <customShpInfo spid="_x0000_s1191"/>
    <customShpInfo spid="_x0000_s1192"/>
    <customShpInfo spid="_x0000_s1190"/>
    <customShpInfo spid="_x0000_s1194"/>
    <customShpInfo spid="_x0000_s1195"/>
    <customShpInfo spid="_x0000_s1196"/>
    <customShpInfo spid="_x0000_s1197"/>
    <customShpInfo spid="_x0000_s1198"/>
    <customShpInfo spid="_x0000_s1199"/>
    <customShpInfo spid="_x0000_s1200"/>
    <customShpInfo spid="_x0000_s1193"/>
    <customShpInfo spid="_x0000_s1202"/>
    <customShpInfo spid="_x0000_s1203"/>
    <customShpInfo spid="_x0000_s1201"/>
    <customShpInfo spid="_x0000_s1204"/>
    <customShpInfo spid="_x0000_s1206"/>
    <customShpInfo spid="_x0000_s1207"/>
    <customShpInfo spid="_x0000_s1208"/>
    <customShpInfo spid="_x0000_s1205"/>
    <customShpInfo spid="_x0000_s1210"/>
    <customShpInfo spid="_x0000_s1211"/>
    <customShpInfo spid="_x0000_s1209"/>
    <customShpInfo spid="_x0000_s1213"/>
    <customShpInfo spid="_x0000_s1214"/>
    <customShpInfo spid="_x0000_s1215"/>
    <customShpInfo spid="_x0000_s1216"/>
    <customShpInfo spid="_x0000_s1212"/>
    <customShpInfo spid="_x0000_s1218"/>
    <customShpInfo spid="_x0000_s1219"/>
    <customShpInfo spid="_x0000_s121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283</Pages>
  <TotalTime>3</TotalTime>
  <ScaleCrop>false</ScaleCrop>
  <LinksUpToDate>false</LinksUpToDate>
  <Application>WPS Office_12.1.26016.26016_F1E327BC-269C-435d-A152-05C5408002CA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2026-06-28T19:00:00Z</dcterms:created>
  <dc:creator>Data</dc:creator>
  <cp:lastModifiedBy>null</cp:lastModifiedBy>
  <dcterms:modified xsi:type="dcterms:W3CDTF">2026-06-28T11:07:03Z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2026-06-28T11:01:19Z</vt:filetime>
  </property>
  <property fmtid="{D5CDD505-2E9C-101B-9397-08002B2CF9AE}" pid="4" name="UsrData">
    <vt:lpwstr>6a408e3f50fe4f00011b75fawl</vt:lpwstr>
  </property>
  <property fmtid="{D5CDD505-2E9C-101B-9397-08002B2CF9AE}" pid="5" name="KSOProductBuildVer">
    <vt:lpwstr>2052-12.1.26016.26016</vt:lpwstr>
  </property>
  <property fmtid="{D5CDD505-2E9C-101B-9397-08002B2CF9AE}" pid="6" name="ICV">
    <vt:lpwstr>25C6C274D1A32D68D78F406AB65C53F2_42</vt:lpwstr>
  </property>
</Properties>
</file>