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rtl w:val="0"/>
        </w:rPr>
        <w:t xml:space="preserve">Client Summary</w:t>
      </w:r>
    </w:p>
    <w:p w:rsidR="00000000" w:rsidDel="00000000" w:rsidP="00000000" w:rsidRDefault="00000000" w:rsidRPr="00000000" w14:paraId="00000002">
      <w:pPr>
        <w:pStyle w:val="Title"/>
        <w:rPr/>
      </w:pPr>
      <w:bookmarkStart w:colFirst="0" w:colLast="0" w:name="_heading=h.gjdgxs" w:id="0"/>
      <w:bookmarkEnd w:id="0"/>
      <w:r w:rsidDel="00000000" w:rsidR="00000000" w:rsidRPr="00000000">
        <w:rPr>
          <w:rtl w:val="0"/>
        </w:rPr>
        <w:t xml:space="preserve">Problem Statement</w:t>
      </w:r>
    </w:p>
    <w:p w:rsidR="00000000" w:rsidDel="00000000" w:rsidP="00000000" w:rsidRDefault="00000000" w:rsidRPr="00000000" w14:paraId="00000003">
      <w:pPr>
        <w:ind w:left="0" w:firstLine="0"/>
        <w:rPr/>
      </w:pPr>
      <w:r w:rsidDel="00000000" w:rsidR="00000000" w:rsidRPr="00000000">
        <w:rPr>
          <w:rtl w:val="0"/>
        </w:rPr>
        <w:t xml:space="preserve">In this experiment, each test subject responded to five questionnaires: three tinnitus questionnaires (THI/TPFQ/THI), and two emotional questionnaires (BAI/BDI). We used their responses to answer two questions:</w:t>
      </w:r>
    </w:p>
    <w:p w:rsidR="00000000" w:rsidDel="00000000" w:rsidP="00000000" w:rsidRDefault="00000000" w:rsidRPr="00000000" w14:paraId="00000004">
      <w:pPr>
        <w:numPr>
          <w:ilvl w:val="0"/>
          <w:numId w:val="7"/>
        </w:numPr>
        <w:spacing w:after="0" w:afterAutospacing="0"/>
        <w:ind w:left="720" w:hanging="360"/>
        <w:rPr>
          <w:u w:val="none"/>
        </w:rPr>
      </w:pPr>
      <w:r w:rsidDel="00000000" w:rsidR="00000000" w:rsidRPr="00000000">
        <w:rPr>
          <w:rtl w:val="0"/>
        </w:rPr>
        <w:t xml:space="preserve">Identify </w:t>
      </w:r>
      <w:r w:rsidDel="00000000" w:rsidR="00000000" w:rsidRPr="00000000">
        <w:rPr>
          <w:rtl w:val="0"/>
        </w:rPr>
        <w:t xml:space="preserve">the best tinnitus questionnaire for clinical practice</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Identify how tinnitus influences emotion</w:t>
      </w:r>
    </w:p>
    <w:p w:rsidR="00000000" w:rsidDel="00000000" w:rsidP="00000000" w:rsidRDefault="00000000" w:rsidRPr="00000000" w14:paraId="00000006">
      <w:pPr>
        <w:rPr/>
      </w:pPr>
      <w:r w:rsidDel="00000000" w:rsidR="00000000" w:rsidRPr="00000000">
        <w:rPr>
          <w:rtl w:val="0"/>
        </w:rPr>
        <w:t xml:space="preserve">We found the following results.</w:t>
      </w: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Data Description</w:t>
      </w:r>
    </w:p>
    <w:p w:rsidR="00000000" w:rsidDel="00000000" w:rsidP="00000000" w:rsidRDefault="00000000" w:rsidRPr="00000000" w14:paraId="00000008">
      <w:pPr>
        <w:rPr/>
      </w:pPr>
      <w:r w:rsidDel="00000000" w:rsidR="00000000" w:rsidRPr="00000000">
        <w:rPr>
          <w:rtl w:val="0"/>
        </w:rPr>
        <w:t xml:space="preserve">Below we describe the data and call out any interesting patterns.</w:t>
      </w:r>
    </w:p>
    <w:p w:rsidR="00000000" w:rsidDel="00000000" w:rsidP="00000000" w:rsidRDefault="00000000" w:rsidRPr="00000000" w14:paraId="00000009">
      <w:pPr>
        <w:pStyle w:val="Heading1"/>
        <w:rPr/>
      </w:pPr>
      <w:bookmarkStart w:colFirst="0" w:colLast="0" w:name="_heading=h.fnd6hsw8josc" w:id="1"/>
      <w:bookmarkEnd w:id="1"/>
      <w:r w:rsidDel="00000000" w:rsidR="00000000" w:rsidRPr="00000000">
        <w:rPr>
          <w:rtl w:val="0"/>
        </w:rPr>
        <w:t xml:space="preserve">Demographics</w:t>
      </w:r>
    </w:p>
    <w:p w:rsidR="00000000" w:rsidDel="00000000" w:rsidP="00000000" w:rsidRDefault="00000000" w:rsidRPr="00000000" w14:paraId="0000000A">
      <w:pPr>
        <w:widowControl w:val="0"/>
        <w:spacing w:after="0" w:line="276" w:lineRule="auto"/>
        <w:rPr/>
      </w:pPr>
      <w:r w:rsidDel="00000000" w:rsidR="00000000" w:rsidRPr="00000000">
        <w:rPr>
          <w:rtl w:val="0"/>
        </w:rPr>
        <w:t xml:space="preserve">We found little influence of age, gender, and hearing loss onto tinnitus or emotion. Tinnitus and emotion are measured based on the total score of the survey responses.</w:t>
      </w:r>
    </w:p>
    <w:p w:rsidR="00000000" w:rsidDel="00000000" w:rsidP="00000000" w:rsidRDefault="00000000" w:rsidRPr="00000000" w14:paraId="0000000B">
      <w:pPr>
        <w:widowControl w:val="0"/>
        <w:spacing w:after="0" w:line="276" w:lineRule="auto"/>
        <w:rPr>
          <w:rFonts w:ascii="Arial" w:cs="Arial" w:eastAsia="Arial" w:hAnsi="Arial"/>
        </w:rPr>
      </w:pPr>
      <w:r w:rsidDel="00000000" w:rsidR="00000000" w:rsidRPr="00000000">
        <w:rPr>
          <w:rtl w:val="0"/>
        </w:rPr>
      </w:r>
    </w:p>
    <w:tbl>
      <w:tblPr>
        <w:tblStyle w:val="Table1"/>
        <w:tblW w:w="10340.0" w:type="dxa"/>
        <w:jc w:val="left"/>
        <w:tblInd w:w="140.0" w:type="pc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360"/>
        <w:gridCol w:w="3340"/>
        <w:gridCol w:w="4640"/>
        <w:tblGridChange w:id="0">
          <w:tblGrid>
            <w:gridCol w:w="2360"/>
            <w:gridCol w:w="3340"/>
            <w:gridCol w:w="4640"/>
          </w:tblGrid>
        </w:tblGridChange>
      </w:tblGrid>
      <w:tr>
        <w:trPr>
          <w:trHeight w:val="500" w:hRule="atLeast"/>
        </w:trPr>
        <w:tc>
          <w:tcPr>
            <w:tcMar>
              <w:top w:w="140.0" w:type="dxa"/>
              <w:left w:w="140.0" w:type="dxa"/>
              <w:bottom w:w="140.0" w:type="dxa"/>
              <w:right w:w="140.0" w:type="dxa"/>
            </w:tcMar>
            <w:vAlign w:val="top"/>
          </w:tcPr>
          <w:p w:rsidR="00000000" w:rsidDel="00000000" w:rsidP="00000000" w:rsidRDefault="00000000" w:rsidRPr="00000000" w14:paraId="0000000C">
            <w:pPr>
              <w:widowControl w:val="0"/>
              <w:spacing w:after="0" w:line="240" w:lineRule="auto"/>
              <w:jc w:val="center"/>
              <w:rPr>
                <w:rFonts w:ascii="Arial" w:cs="Arial" w:eastAsia="Arial" w:hAnsi="Arial"/>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0D">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Tinnitus</w:t>
            </w:r>
          </w:p>
        </w:tc>
        <w:tc>
          <w:tcPr>
            <w:tcMar>
              <w:top w:w="140.0" w:type="dxa"/>
              <w:left w:w="140.0" w:type="dxa"/>
              <w:bottom w:w="140.0" w:type="dxa"/>
              <w:right w:w="140.0" w:type="dxa"/>
            </w:tcMar>
            <w:vAlign w:val="top"/>
          </w:tcPr>
          <w:p w:rsidR="00000000" w:rsidDel="00000000" w:rsidP="00000000" w:rsidRDefault="00000000" w:rsidRPr="00000000" w14:paraId="0000000E">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Emotion</w:t>
            </w:r>
          </w:p>
        </w:tc>
      </w:tr>
      <w:tr>
        <w:trPr>
          <w:trHeight w:val="620" w:hRule="atLeast"/>
        </w:trPr>
        <w:tc>
          <w:tcPr>
            <w:tcMar>
              <w:top w:w="140.0" w:type="dxa"/>
              <w:left w:w="140.0" w:type="dxa"/>
              <w:bottom w:w="140.0" w:type="dxa"/>
              <w:right w:w="140.0" w:type="dxa"/>
            </w:tcMar>
            <w:vAlign w:val="top"/>
          </w:tcPr>
          <w:p w:rsidR="00000000" w:rsidDel="00000000" w:rsidP="00000000" w:rsidRDefault="00000000" w:rsidRPr="00000000" w14:paraId="0000000F">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Age</w:t>
            </w:r>
          </w:p>
        </w:tc>
        <w:tc>
          <w:tcPr>
            <w:tcMar>
              <w:top w:w="140.0" w:type="dxa"/>
              <w:left w:w="140.0" w:type="dxa"/>
              <w:bottom w:w="140.0" w:type="dxa"/>
              <w:right w:w="140.0" w:type="dxa"/>
            </w:tcMar>
            <w:vAlign w:val="top"/>
          </w:tcPr>
          <w:p w:rsidR="00000000" w:rsidDel="00000000" w:rsidP="00000000" w:rsidRDefault="00000000" w:rsidRPr="00000000" w14:paraId="0000001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c>
          <w:tcPr>
            <w:tcMar>
              <w:top w:w="140.0" w:type="dxa"/>
              <w:left w:w="140.0" w:type="dxa"/>
              <w:bottom w:w="140.0" w:type="dxa"/>
              <w:right w:w="140.0" w:type="dxa"/>
            </w:tcMar>
            <w:vAlign w:val="top"/>
          </w:tcPr>
          <w:p w:rsidR="00000000" w:rsidDel="00000000" w:rsidP="00000000" w:rsidRDefault="00000000" w:rsidRPr="00000000" w14:paraId="0000001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r>
      <w:tr>
        <w:trPr>
          <w:trHeight w:val="620" w:hRule="atLeast"/>
        </w:trPr>
        <w:tc>
          <w:tcPr>
            <w:tcMar>
              <w:top w:w="140.0" w:type="dxa"/>
              <w:left w:w="140.0" w:type="dxa"/>
              <w:bottom w:w="140.0" w:type="dxa"/>
              <w:right w:w="140.0" w:type="dxa"/>
            </w:tcMar>
            <w:vAlign w:val="top"/>
          </w:tcPr>
          <w:p w:rsidR="00000000" w:rsidDel="00000000" w:rsidP="00000000" w:rsidRDefault="00000000" w:rsidRPr="00000000" w14:paraId="00000012">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Gender</w:t>
            </w:r>
          </w:p>
        </w:tc>
        <w:tc>
          <w:tcPr>
            <w:tcMar>
              <w:top w:w="140.0" w:type="dxa"/>
              <w:left w:w="140.0" w:type="dxa"/>
              <w:bottom w:w="140.0" w:type="dxa"/>
              <w:right w:w="140.0" w:type="dxa"/>
            </w:tcMar>
            <w:vAlign w:val="top"/>
          </w:tcPr>
          <w:p w:rsidR="00000000" w:rsidDel="00000000" w:rsidP="00000000" w:rsidRDefault="00000000" w:rsidRPr="00000000" w14:paraId="0000001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c>
          <w:tcPr>
            <w:tcMar>
              <w:top w:w="140.0" w:type="dxa"/>
              <w:left w:w="140.0" w:type="dxa"/>
              <w:bottom w:w="140.0" w:type="dxa"/>
              <w:right w:w="140.0" w:type="dxa"/>
            </w:tcMar>
            <w:vAlign w:val="top"/>
          </w:tcPr>
          <w:p w:rsidR="00000000" w:rsidDel="00000000" w:rsidP="00000000" w:rsidRDefault="00000000" w:rsidRPr="00000000" w14:paraId="0000001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r>
      <w:tr>
        <w:trPr>
          <w:trHeight w:val="620" w:hRule="atLeast"/>
        </w:trPr>
        <w:tc>
          <w:tcPr>
            <w:tcMar>
              <w:top w:w="140.0" w:type="dxa"/>
              <w:left w:w="140.0" w:type="dxa"/>
              <w:bottom w:w="140.0" w:type="dxa"/>
              <w:right w:w="140.0" w:type="dxa"/>
            </w:tcMar>
            <w:vAlign w:val="top"/>
          </w:tcPr>
          <w:p w:rsidR="00000000" w:rsidDel="00000000" w:rsidP="00000000" w:rsidRDefault="00000000" w:rsidRPr="00000000" w14:paraId="00000015">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Hearing Loss</w:t>
            </w:r>
          </w:p>
        </w:tc>
        <w:tc>
          <w:tcPr>
            <w:tcMar>
              <w:top w:w="140.0" w:type="dxa"/>
              <w:left w:w="140.0" w:type="dxa"/>
              <w:bottom w:w="140.0" w:type="dxa"/>
              <w:right w:w="140.0" w:type="dxa"/>
            </w:tcMar>
            <w:vAlign w:val="top"/>
          </w:tcPr>
          <w:p w:rsidR="00000000" w:rsidDel="00000000" w:rsidP="00000000" w:rsidRDefault="00000000" w:rsidRPr="00000000" w14:paraId="0000001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c>
          <w:tcPr>
            <w:tcMar>
              <w:top w:w="140.0" w:type="dxa"/>
              <w:left w:w="140.0" w:type="dxa"/>
              <w:bottom w:w="140.0" w:type="dxa"/>
              <w:right w:w="140.0" w:type="dxa"/>
            </w:tcMar>
            <w:vAlign w:val="top"/>
          </w:tcPr>
          <w:p w:rsidR="00000000" w:rsidDel="00000000" w:rsidP="00000000" w:rsidRDefault="00000000" w:rsidRPr="00000000" w14:paraId="00000017">
            <w:pPr>
              <w:widowControl w:val="0"/>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NEGATIVE</w:t>
            </w:r>
            <w:r w:rsidDel="00000000" w:rsidR="00000000" w:rsidRPr="00000000">
              <w:rPr>
                <w:rFonts w:ascii="Arial" w:cs="Arial" w:eastAsia="Arial" w:hAnsi="Arial"/>
                <w:rtl w:val="0"/>
              </w:rPr>
              <w:t xml:space="preserve"> Influence</w:t>
            </w:r>
          </w:p>
        </w:tc>
      </w:tr>
    </w:tbl>
    <w:p w:rsidR="00000000" w:rsidDel="00000000" w:rsidP="00000000" w:rsidRDefault="00000000" w:rsidRPr="00000000" w14:paraId="00000018">
      <w:pPr>
        <w:rPr/>
      </w:pPr>
      <w:bookmarkStart w:colFirst="0" w:colLast="0" w:name="_heading=h.bhthqfiwapn7" w:id="2"/>
      <w:bookmarkEnd w:id="2"/>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BAI/ BDI</w:t>
      </w:r>
    </w:p>
    <w:p w:rsidR="00000000" w:rsidDel="00000000" w:rsidP="00000000" w:rsidRDefault="00000000" w:rsidRPr="00000000" w14:paraId="0000001A">
      <w:pPr>
        <w:rPr/>
      </w:pPr>
      <w:r w:rsidDel="00000000" w:rsidR="00000000" w:rsidRPr="00000000">
        <w:rPr>
          <w:rtl w:val="0"/>
        </w:rPr>
        <w:t xml:space="preserve">We create frequency plots for the total score of BAI and BDA, which are both emotional measurements. We add two vertical lines to represent clinical thresholds. </w:t>
      </w:r>
    </w:p>
    <w:p w:rsidR="00000000" w:rsidDel="00000000" w:rsidP="00000000" w:rsidRDefault="00000000" w:rsidRPr="00000000" w14:paraId="0000001B">
      <w:pPr>
        <w:rPr/>
      </w:pPr>
      <w:r w:rsidDel="00000000" w:rsidR="00000000" w:rsidRPr="00000000">
        <w:rPr/>
        <w:drawing>
          <wp:inline distB="114300" distT="114300" distL="114300" distR="114300">
            <wp:extent cx="2853893" cy="1254458"/>
            <wp:effectExtent b="0" l="0" r="0" t="0"/>
            <wp:docPr id="3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53893" cy="1254458"/>
                    </a:xfrm>
                    <a:prstGeom prst="rect"/>
                    <a:ln/>
                  </pic:spPr>
                </pic:pic>
              </a:graphicData>
            </a:graphic>
          </wp:inline>
        </w:drawing>
      </w:r>
      <w:r w:rsidDel="00000000" w:rsidR="00000000" w:rsidRPr="00000000">
        <w:rPr/>
        <w:drawing>
          <wp:inline distB="114300" distT="114300" distL="114300" distR="114300">
            <wp:extent cx="2871788" cy="1355108"/>
            <wp:effectExtent b="0" l="0" r="0" t="0"/>
            <wp:docPr id="3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871788" cy="135510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BAI (anxiety), we only have very few patients (6) that are considered as moderate anxiety and none of them have concerning levels of anxiety. </w:t>
      </w:r>
    </w:p>
    <w:p w:rsidR="00000000" w:rsidDel="00000000" w:rsidP="00000000" w:rsidRDefault="00000000" w:rsidRPr="00000000" w14:paraId="0000001D">
      <w:pPr>
        <w:rPr/>
      </w:pPr>
      <w:r w:rsidDel="00000000" w:rsidR="00000000" w:rsidRPr="00000000">
        <w:rPr>
          <w:rtl w:val="0"/>
        </w:rPr>
        <w:t xml:space="preserve">For BDA (depression), we only have very few patients (10) that are considered as clinical depression and none of them have severe depression. </w:t>
      </w:r>
    </w:p>
    <w:p w:rsidR="00000000" w:rsidDel="00000000" w:rsidP="00000000" w:rsidRDefault="00000000" w:rsidRPr="00000000" w14:paraId="0000001E">
      <w:pPr>
        <w:rPr/>
      </w:pPr>
      <w:r w:rsidDel="00000000" w:rsidR="00000000" w:rsidRPr="00000000">
        <w:rPr>
          <w:rtl w:val="0"/>
        </w:rPr>
        <w:t xml:space="preserve">As we will see later, having few patients at clinical levels of depression impacts our ability to predict emotion using tinnitus.</w:t>
      </w:r>
    </w:p>
    <w:p w:rsidR="00000000" w:rsidDel="00000000" w:rsidP="00000000" w:rsidRDefault="00000000" w:rsidRPr="00000000" w14:paraId="0000001F">
      <w:pPr>
        <w:rPr>
          <w:rFonts w:ascii="Calibri" w:cs="Calibri" w:eastAsia="Calibri" w:hAnsi="Calibri"/>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rPr/>
      </w:pPr>
      <w:r w:rsidDel="00000000" w:rsidR="00000000" w:rsidRPr="00000000">
        <w:rPr>
          <w:rtl w:val="0"/>
        </w:rPr>
        <w:t xml:space="preserve">Milestone 1 – Validity</w:t>
      </w:r>
    </w:p>
    <w:p w:rsidR="00000000" w:rsidDel="00000000" w:rsidP="00000000" w:rsidRDefault="00000000" w:rsidRPr="00000000" w14:paraId="00000021">
      <w:pPr>
        <w:rPr/>
      </w:pPr>
      <w:r w:rsidDel="00000000" w:rsidR="00000000" w:rsidRPr="00000000">
        <w:rPr>
          <w:rtl w:val="0"/>
        </w:rPr>
        <w:t xml:space="preserve">In this section we identify which tinnitus survey provides the most ‘valid’ measure of tinnitus. We use factor analysis to assess how well each tinnitus questionnaire performs on three measures:</w:t>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i w:val="1"/>
          <w:rtl w:val="0"/>
        </w:rPr>
        <w:t xml:space="preserve">Reproduction</w:t>
      </w:r>
      <w:r w:rsidDel="00000000" w:rsidR="00000000" w:rsidRPr="00000000">
        <w:rPr>
          <w:rtl w:val="0"/>
        </w:rPr>
        <w:t xml:space="preserve">: Can we reproduce the existing tinnitus subscales with EFA? </w:t>
      </w:r>
    </w:p>
    <w:p w:rsidR="00000000" w:rsidDel="00000000" w:rsidP="00000000" w:rsidRDefault="00000000" w:rsidRPr="00000000" w14:paraId="00000023">
      <w:pPr>
        <w:numPr>
          <w:ilvl w:val="0"/>
          <w:numId w:val="1"/>
        </w:numPr>
        <w:spacing w:after="0" w:afterAutospacing="0"/>
        <w:ind w:left="720" w:hanging="360"/>
        <w:rPr>
          <w:u w:val="none"/>
        </w:rPr>
      </w:pPr>
      <w:r w:rsidDel="00000000" w:rsidR="00000000" w:rsidRPr="00000000">
        <w:rPr>
          <w:i w:val="1"/>
          <w:rtl w:val="0"/>
        </w:rPr>
        <w:t xml:space="preserve">Internal Consistency</w:t>
      </w:r>
      <w:r w:rsidDel="00000000" w:rsidR="00000000" w:rsidRPr="00000000">
        <w:rPr>
          <w:rtl w:val="0"/>
        </w:rPr>
        <w:t xml:space="preserve">: How fully do the subscales explain responses to their own survey?</w:t>
      </w:r>
    </w:p>
    <w:p w:rsidR="00000000" w:rsidDel="00000000" w:rsidP="00000000" w:rsidRDefault="00000000" w:rsidRPr="00000000" w14:paraId="00000024">
      <w:pPr>
        <w:numPr>
          <w:ilvl w:val="0"/>
          <w:numId w:val="1"/>
        </w:numPr>
        <w:ind w:left="720" w:hanging="360"/>
        <w:rPr>
          <w:u w:val="none"/>
        </w:rPr>
      </w:pPr>
      <w:r w:rsidDel="00000000" w:rsidR="00000000" w:rsidRPr="00000000">
        <w:rPr>
          <w:i w:val="1"/>
          <w:rtl w:val="0"/>
        </w:rPr>
        <w:t xml:space="preserve">Comprehensiveness</w:t>
      </w:r>
      <w:r w:rsidDel="00000000" w:rsidR="00000000" w:rsidRPr="00000000">
        <w:rPr>
          <w:rtl w:val="0"/>
        </w:rPr>
        <w:t xml:space="preserve">: Which survey best explains the others and therefore is the most comprehensive?</w:t>
      </w:r>
      <w:r w:rsidDel="00000000" w:rsidR="00000000" w:rsidRPr="00000000">
        <w:rPr>
          <w:rtl w:val="0"/>
        </w:rPr>
      </w:r>
    </w:p>
    <w:p w:rsidR="00000000" w:rsidDel="00000000" w:rsidP="00000000" w:rsidRDefault="00000000" w:rsidRPr="00000000" w14:paraId="00000025">
      <w:pPr>
        <w:pStyle w:val="Heading1"/>
        <w:rPr/>
      </w:pPr>
      <w:bookmarkStart w:colFirst="0" w:colLast="0" w:name="_heading=h.7czbaulxtlw" w:id="3"/>
      <w:bookmarkEnd w:id="3"/>
      <w:r w:rsidDel="00000000" w:rsidR="00000000" w:rsidRPr="00000000">
        <w:rPr>
          <w:rtl w:val="0"/>
        </w:rPr>
        <w:t xml:space="preserve">EFA Consistency</w:t>
      </w:r>
    </w:p>
    <w:p w:rsidR="00000000" w:rsidDel="00000000" w:rsidP="00000000" w:rsidRDefault="00000000" w:rsidRPr="00000000" w14:paraId="00000026">
      <w:pPr>
        <w:rPr/>
      </w:pPr>
      <w:r w:rsidDel="00000000" w:rsidR="00000000" w:rsidRPr="00000000">
        <w:rPr>
          <w:rtl w:val="0"/>
        </w:rPr>
        <w:t xml:space="preserve">Can we reproduce questionnaire subscales using EFA?</w:t>
      </w:r>
    </w:p>
    <w:p w:rsidR="00000000" w:rsidDel="00000000" w:rsidP="00000000" w:rsidRDefault="00000000" w:rsidRPr="00000000" w14:paraId="00000027">
      <w:pPr>
        <w:rPr/>
      </w:pPr>
      <w:r w:rsidDel="00000000" w:rsidR="00000000" w:rsidRPr="00000000">
        <w:rPr>
          <w:rtl w:val="0"/>
        </w:rPr>
        <w:t xml:space="preserve">The following tables compare the existing subscales vs the reproduced subscales. The numbers represent the number of questions belonging to each subscale. The goal is to identify whether the reproduced EFA subscales and the existing subscales group questions in the same way.</w:t>
      </w:r>
    </w:p>
    <w:p w:rsidR="00000000" w:rsidDel="00000000" w:rsidP="00000000" w:rsidRDefault="00000000" w:rsidRPr="00000000" w14:paraId="00000028">
      <w:pPr>
        <w:rPr>
          <w:b w:val="1"/>
          <w:u w:val="single"/>
        </w:rPr>
      </w:pPr>
      <w:r w:rsidDel="00000000" w:rsidR="00000000" w:rsidRPr="00000000">
        <w:rPr>
          <w:b w:val="1"/>
          <w:u w:val="single"/>
          <w:rtl w:val="0"/>
        </w:rPr>
        <w:t xml:space="preserve">THI:</w:t>
      </w:r>
    </w:p>
    <w:p w:rsidR="00000000" w:rsidDel="00000000" w:rsidP="00000000" w:rsidRDefault="00000000" w:rsidRPr="00000000" w14:paraId="00000029">
      <w:pPr>
        <w:rPr/>
      </w:pPr>
      <w:r w:rsidDel="00000000" w:rsidR="00000000" w:rsidRPr="00000000">
        <w:rPr>
          <w:rtl w:val="0"/>
        </w:rPr>
        <w:t xml:space="preserve">The reproduced subscales group questions completely differently from the existing questionnaire.</w:t>
      </w:r>
    </w:p>
    <w:tbl>
      <w:tblPr>
        <w:tblStyle w:val="Table2"/>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770"/>
        <w:gridCol w:w="1770"/>
        <w:gridCol w:w="2265"/>
        <w:tblGridChange w:id="0">
          <w:tblGrid>
            <w:gridCol w:w="3075"/>
            <w:gridCol w:w="1770"/>
            <w:gridCol w:w="1770"/>
            <w:gridCol w:w="2265"/>
          </w:tblGrid>
        </w:tblGridChange>
      </w:tblGrid>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Existing \ Reproduced EFA</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Factor1: Severity</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Factor2: Social</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Factor3: Depression</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Catastrophic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Emotional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03A">
      <w:pPr>
        <w:spacing w:after="240" w:before="240" w:lineRule="auto"/>
        <w:rPr/>
      </w:pPr>
      <w:r w:rsidDel="00000000" w:rsidR="00000000" w:rsidRPr="00000000">
        <w:rPr>
          <w:rtl w:val="0"/>
        </w:rPr>
        <w:t xml:space="preserve">EFA gives us one subscale measuring the overall severity of the tinnitus and one subscale measuring the social impact of tinnitus. For more information on how individual questions are categorized see the appendix EFA Excel.</w:t>
      </w:r>
    </w:p>
    <w:p w:rsidR="00000000" w:rsidDel="00000000" w:rsidP="00000000" w:rsidRDefault="00000000" w:rsidRPr="00000000" w14:paraId="0000003B">
      <w:pPr>
        <w:spacing w:after="240" w:before="240" w:lineRule="auto"/>
        <w:rPr>
          <w:b w:val="1"/>
          <w:u w:val="single"/>
        </w:rPr>
      </w:pPr>
      <w:r w:rsidDel="00000000" w:rsidR="00000000" w:rsidRPr="00000000">
        <w:rPr>
          <w:b w:val="1"/>
          <w:u w:val="single"/>
          <w:rtl w:val="0"/>
        </w:rPr>
        <w:t xml:space="preserve">TPFQ:</w:t>
      </w:r>
    </w:p>
    <w:p w:rsidR="00000000" w:rsidDel="00000000" w:rsidP="00000000" w:rsidRDefault="00000000" w:rsidRPr="00000000" w14:paraId="0000003C">
      <w:pPr>
        <w:spacing w:after="240" w:before="240" w:lineRule="auto"/>
        <w:rPr/>
      </w:pPr>
      <w:r w:rsidDel="00000000" w:rsidR="00000000" w:rsidRPr="00000000">
        <w:rPr>
          <w:rtl w:val="0"/>
        </w:rPr>
        <w:t xml:space="preserve">Here EFA largely reproduces the existing subscales:</w:t>
      </w:r>
    </w:p>
    <w:tbl>
      <w:tblPr>
        <w:tblStyle w:val="Table3"/>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125"/>
        <w:gridCol w:w="1410"/>
        <w:gridCol w:w="2235"/>
        <w:gridCol w:w="1455"/>
        <w:tblGridChange w:id="0">
          <w:tblGrid>
            <w:gridCol w:w="2655"/>
            <w:gridCol w:w="1125"/>
            <w:gridCol w:w="1410"/>
            <w:gridCol w:w="2235"/>
            <w:gridCol w:w="1455"/>
          </w:tblGrid>
        </w:tblGridChange>
      </w:tblGrid>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Existing \ Reproduced EFA</w:t>
            </w:r>
          </w:p>
        </w:tc>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F1: Sleep</w:t>
            </w:r>
          </w:p>
        </w:tc>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F2: Hearing</w:t>
            </w:r>
          </w:p>
        </w:tc>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F3: Concentration</w:t>
            </w:r>
          </w:p>
        </w:tc>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F4: Emotion</w:t>
            </w:r>
          </w:p>
        </w:tc>
      </w:tr>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42">
            <w:pPr>
              <w:spacing w:after="0" w:line="240" w:lineRule="auto"/>
              <w:rPr>
                <w:b w:val="1"/>
              </w:rPr>
            </w:pPr>
            <w:r w:rsidDel="00000000" w:rsidR="00000000" w:rsidRPr="00000000">
              <w:rPr>
                <w:b w:val="1"/>
                <w:rtl w:val="0"/>
              </w:rPr>
              <w:t xml:space="preserve">S_Sleep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47">
            <w:pPr>
              <w:spacing w:after="0" w:line="240" w:lineRule="auto"/>
              <w:rPr>
                <w:b w:val="1"/>
              </w:rPr>
            </w:pPr>
            <w:r w:rsidDel="00000000" w:rsidR="00000000" w:rsidRPr="00000000">
              <w:rPr>
                <w:b w:val="1"/>
                <w:rtl w:val="0"/>
              </w:rPr>
              <w:t xml:space="preserve">H_Hearing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4C">
            <w:pPr>
              <w:spacing w:after="0" w:line="240" w:lineRule="auto"/>
              <w:rPr>
                <w:b w:val="1"/>
              </w:rPr>
            </w:pPr>
            <w:r w:rsidDel="00000000" w:rsidR="00000000" w:rsidRPr="00000000">
              <w:rPr>
                <w:b w:val="1"/>
                <w:rtl w:val="0"/>
              </w:rPr>
              <w:t xml:space="preserve">C_Concentration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Pr>
          <w:p w:rsidR="00000000" w:rsidDel="00000000" w:rsidP="00000000" w:rsidRDefault="00000000" w:rsidRPr="00000000" w14:paraId="00000051">
            <w:pPr>
              <w:spacing w:after="0" w:line="240" w:lineRule="auto"/>
              <w:rPr>
                <w:b w:val="1"/>
              </w:rPr>
            </w:pPr>
            <w:r w:rsidDel="00000000" w:rsidR="00000000" w:rsidRPr="00000000">
              <w:rPr>
                <w:b w:val="1"/>
                <w:rtl w:val="0"/>
              </w:rPr>
              <w:t xml:space="preserve">E_Emotion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Questions belong to the wrong subscale:</w:t>
      </w:r>
    </w:p>
    <w:tbl>
      <w:tblPr>
        <w:tblStyle w:val="Table4"/>
        <w:tblW w:w="9360.000000000002"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3732503888025"/>
        <w:gridCol w:w="2969.5800933125975"/>
        <w:gridCol w:w="829.7356143079315"/>
        <w:gridCol w:w="975.303265940902"/>
        <w:gridCol w:w="1543.0171073094868"/>
        <w:gridCol w:w="1018.9735614307932"/>
        <w:gridCol w:w="1543.0171073094868"/>
        <w:tblGridChange w:id="0">
          <w:tblGrid>
            <w:gridCol w:w="480.3732503888025"/>
            <w:gridCol w:w="2969.5800933125975"/>
            <w:gridCol w:w="829.7356143079315"/>
            <w:gridCol w:w="975.303265940902"/>
            <w:gridCol w:w="1543.0171073094868"/>
            <w:gridCol w:w="1018.9735614307932"/>
            <w:gridCol w:w="1543.0171073094868"/>
          </w:tblGrid>
        </w:tblGridChange>
      </w:tblGrid>
      <w:tr>
        <w:trPr>
          <w:trHeight w:val="770" w:hRule="atLeast"/>
        </w:trPr>
        <w:tc>
          <w:tcPr>
            <w:tcBorders>
              <w:top w:color="000000" w:space="0" w:sz="8" w:val="single"/>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b w:val="1"/>
              </w:rPr>
            </w:pPr>
            <w:r w:rsidDel="00000000" w:rsidR="00000000" w:rsidRPr="00000000">
              <w:rPr>
                <w:b w:val="1"/>
                <w:rtl w:val="0"/>
              </w:rPr>
              <w:t xml:space="preserve">ID</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b w:val="1"/>
              </w:rPr>
            </w:pPr>
            <w:r w:rsidDel="00000000" w:rsidR="00000000" w:rsidRPr="00000000">
              <w:rPr>
                <w:b w:val="1"/>
                <w:rtl w:val="0"/>
              </w:rPr>
              <w:t xml:space="preserve">Question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b w:val="1"/>
              </w:rPr>
            </w:pPr>
            <w:r w:rsidDel="00000000" w:rsidR="00000000" w:rsidRPr="00000000">
              <w:rPr>
                <w:b w:val="1"/>
                <w:rtl w:val="0"/>
              </w:rPr>
              <w:t xml:space="preserve">Sleep</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b w:val="1"/>
              </w:rPr>
            </w:pPr>
            <w:r w:rsidDel="00000000" w:rsidR="00000000" w:rsidRPr="00000000">
              <w:rPr>
                <w:b w:val="1"/>
                <w:rtl w:val="0"/>
              </w:rPr>
              <w:t xml:space="preserve">Hearing</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b w:val="1"/>
              </w:rPr>
            </w:pPr>
            <w:r w:rsidDel="00000000" w:rsidR="00000000" w:rsidRPr="00000000">
              <w:rPr>
                <w:b w:val="1"/>
                <w:rtl w:val="0"/>
              </w:rPr>
              <w:t xml:space="preserve">Concentration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b w:val="1"/>
              </w:rPr>
            </w:pPr>
            <w:r w:rsidDel="00000000" w:rsidR="00000000" w:rsidRPr="00000000">
              <w:rPr>
                <w:b w:val="1"/>
                <w:rtl w:val="0"/>
              </w:rPr>
              <w:t xml:space="preserve">Emotion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b w:val="1"/>
              </w:rPr>
            </w:pPr>
            <w:r w:rsidDel="00000000" w:rsidR="00000000" w:rsidRPr="00000000">
              <w:rPr>
                <w:b w:val="1"/>
                <w:rtl w:val="0"/>
              </w:rPr>
              <w:t xml:space="preserve">Existing subscales</w:t>
            </w:r>
          </w:p>
        </w:tc>
      </w:tr>
      <w:tr>
        <w:trPr>
          <w:trHeight w:val="10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I just wish my tinnitus would go away. It is so frustrating.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color w:val="afabab"/>
              </w:rPr>
            </w:pPr>
            <w:r w:rsidDel="00000000" w:rsidR="00000000" w:rsidRPr="00000000">
              <w:rPr>
                <w:color w:val="afabab"/>
                <w:rtl w:val="0"/>
              </w:rPr>
              <w:t xml:space="preserve">0.15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color w:val="afabab"/>
              </w:rPr>
            </w:pPr>
            <w:r w:rsidDel="00000000" w:rsidR="00000000" w:rsidRPr="00000000">
              <w:rPr>
                <w:color w:val="afabab"/>
                <w:rtl w:val="0"/>
              </w:rPr>
              <w:t xml:space="preserve">0.11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color w:val="afabab"/>
              </w:rPr>
            </w:pPr>
            <w:r w:rsidDel="00000000" w:rsidR="00000000" w:rsidRPr="00000000">
              <w:rPr>
                <w:color w:val="afabab"/>
                <w:rtl w:val="0"/>
              </w:rPr>
              <w:t xml:space="preserve">0.13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b w:val="1"/>
              </w:rPr>
            </w:pPr>
            <w:r w:rsidDel="00000000" w:rsidR="00000000" w:rsidRPr="00000000">
              <w:rPr>
                <w:b w:val="1"/>
                <w:rtl w:val="0"/>
              </w:rPr>
              <w:t xml:space="preserve">Emotion</w:t>
            </w:r>
          </w:p>
        </w:tc>
      </w:tr>
      <w:tr>
        <w:trPr>
          <w:trHeight w:val="159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b w:val="1"/>
              </w:rPr>
            </w:pPr>
            <w:r w:rsidDel="00000000" w:rsidR="00000000" w:rsidRPr="00000000">
              <w:rPr>
                <w:b w:val="1"/>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pPr>
            <w:r w:rsidDel="00000000" w:rsidR="00000000" w:rsidRPr="00000000">
              <w:rPr>
                <w:rtl w:val="0"/>
              </w:rPr>
              <w:t xml:space="preserve">When there are lots of things happening at once, my tinnitus interferes with my ability to attend to the most important thing.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color w:val="afabab"/>
              </w:rPr>
            </w:pPr>
            <w:r w:rsidDel="00000000" w:rsidR="00000000" w:rsidRPr="00000000">
              <w:rPr>
                <w:color w:val="afabab"/>
                <w:rtl w:val="0"/>
              </w:rPr>
              <w:t xml:space="preserve">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color w:val="afabab"/>
              </w:rPr>
            </w:pPr>
            <w:r w:rsidDel="00000000" w:rsidR="00000000" w:rsidRPr="00000000">
              <w:rPr>
                <w:color w:val="afabab"/>
                <w:rtl w:val="0"/>
              </w:rPr>
              <w:t xml:space="preserve">0.13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b w:val="1"/>
              </w:rPr>
            </w:pPr>
            <w:r w:rsidDel="00000000" w:rsidR="00000000" w:rsidRPr="00000000">
              <w:rPr>
                <w:b w:val="1"/>
                <w:rtl w:val="0"/>
              </w:rPr>
              <w:t xml:space="preserve">Concentration</w:t>
            </w:r>
          </w:p>
        </w:tc>
      </w:tr>
      <w:tr>
        <w:trPr>
          <w:trHeight w:val="51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b w:val="1"/>
              </w:rPr>
            </w:pPr>
            <w:r w:rsidDel="00000000" w:rsidR="00000000" w:rsidRPr="00000000">
              <w:rPr>
                <w:b w:val="1"/>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pPr>
            <w:r w:rsidDel="00000000" w:rsidR="00000000" w:rsidRPr="00000000">
              <w:rPr>
                <w:rtl w:val="0"/>
              </w:rPr>
              <w:t xml:space="preserve">My tinnitus is annoying.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color w:val="afabab"/>
              </w:rPr>
            </w:pPr>
            <w:r w:rsidDel="00000000" w:rsidR="00000000" w:rsidRPr="00000000">
              <w:rPr>
                <w:color w:val="afabab"/>
                <w:rtl w:val="0"/>
              </w:rPr>
              <w:t xml:space="preserve">0.07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pPr>
            <w:r w:rsidDel="00000000" w:rsidR="00000000" w:rsidRPr="00000000">
              <w:rPr>
                <w:rtl w:val="0"/>
              </w:rPr>
              <w:t xml:space="preserve">0.25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pPr>
            <w:r w:rsidDel="00000000" w:rsidR="00000000" w:rsidRPr="00000000">
              <w:rPr>
                <w:rtl w:val="0"/>
              </w:rPr>
              <w:t xml:space="preserve">0.25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color w:val="afabab"/>
              </w:rPr>
            </w:pPr>
            <w:r w:rsidDel="00000000" w:rsidR="00000000" w:rsidRPr="00000000">
              <w:rPr>
                <w:color w:val="afabab"/>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b w:val="1"/>
              </w:rPr>
            </w:pPr>
            <w:r w:rsidDel="00000000" w:rsidR="00000000" w:rsidRPr="00000000">
              <w:rPr>
                <w:b w:val="1"/>
                <w:rtl w:val="0"/>
              </w:rPr>
              <w:t xml:space="preserve">Emotion</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The reproduced TPFQ is similar to the existing one. Questions 3, 5, 8 might be modified or removed from the questionnaire.</w:t>
      </w:r>
    </w:p>
    <w:p w:rsidR="00000000" w:rsidDel="00000000" w:rsidP="00000000" w:rsidRDefault="00000000" w:rsidRPr="00000000" w14:paraId="00000074">
      <w:pPr>
        <w:spacing w:after="240" w:before="240" w:lineRule="auto"/>
        <w:rPr>
          <w:b w:val="1"/>
          <w:u w:val="single"/>
        </w:rPr>
      </w:pPr>
      <w:r w:rsidDel="00000000" w:rsidR="00000000" w:rsidRPr="00000000">
        <w:rPr>
          <w:b w:val="1"/>
          <w:u w:val="single"/>
          <w:rtl w:val="0"/>
        </w:rPr>
        <w:t xml:space="preserve">TFI:</w:t>
      </w:r>
    </w:p>
    <w:p w:rsidR="00000000" w:rsidDel="00000000" w:rsidP="00000000" w:rsidRDefault="00000000" w:rsidRPr="00000000" w14:paraId="00000075">
      <w:pPr>
        <w:spacing w:after="240" w:before="240" w:lineRule="auto"/>
        <w:rPr/>
      </w:pPr>
      <w:r w:rsidDel="00000000" w:rsidR="00000000" w:rsidRPr="00000000">
        <w:rPr>
          <w:rtl w:val="0"/>
        </w:rPr>
        <w:t xml:space="preserve">Exploratory factor analysis puts almost all questions into the correct existing subscales. There are two exceptions:</w:t>
      </w:r>
    </w:p>
    <w:tbl>
      <w:tblPr>
        <w:tblStyle w:val="Table5"/>
        <w:tblW w:w="9356.689119170986"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50"/>
        <w:gridCol w:w="989.3471502590673"/>
        <w:gridCol w:w="601.3678756476684"/>
        <w:gridCol w:w="1134.8393782383419"/>
        <w:gridCol w:w="1066.9430051813472"/>
        <w:gridCol w:w="1367.6269430051816"/>
        <w:gridCol w:w="969.9481865284974"/>
        <w:gridCol w:w="1561.6165803108809"/>
        <w:tblGridChange w:id="0">
          <w:tblGrid>
            <w:gridCol w:w="615"/>
            <w:gridCol w:w="1050"/>
            <w:gridCol w:w="989.3471502590673"/>
            <w:gridCol w:w="601.3678756476684"/>
            <w:gridCol w:w="1134.8393782383419"/>
            <w:gridCol w:w="1066.9430051813472"/>
            <w:gridCol w:w="1367.6269430051816"/>
            <w:gridCol w:w="969.9481865284974"/>
            <w:gridCol w:w="1561.6165803108809"/>
          </w:tblGrid>
        </w:tblGridChange>
      </w:tblGrid>
      <w:tr>
        <w:trPr>
          <w:trHeight w:val="515" w:hRule="atLeast"/>
        </w:trPr>
        <w:tc>
          <w:tcPr>
            <w:tcBorders>
              <w:top w:color="000000" w:space="0" w:sz="8" w:val="single"/>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b w:val="1"/>
              </w:rPr>
            </w:pPr>
            <w:r w:rsidDel="00000000" w:rsidR="00000000" w:rsidRPr="00000000">
              <w:rPr>
                <w:b w:val="1"/>
                <w:rtl w:val="0"/>
              </w:rPr>
              <w:t xml:space="preserve">ID</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b w:val="1"/>
                <w:sz w:val="16"/>
                <w:szCs w:val="16"/>
              </w:rPr>
            </w:pPr>
            <w:r w:rsidDel="00000000" w:rsidR="00000000" w:rsidRPr="00000000">
              <w:rPr>
                <w:b w:val="1"/>
                <w:sz w:val="16"/>
                <w:szCs w:val="16"/>
                <w:rtl w:val="0"/>
              </w:rPr>
              <w:t xml:space="preserve">AUDITORY</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b w:val="1"/>
                <w:sz w:val="16"/>
                <w:szCs w:val="16"/>
              </w:rPr>
            </w:pPr>
            <w:r w:rsidDel="00000000" w:rsidR="00000000" w:rsidRPr="00000000">
              <w:rPr>
                <w:b w:val="1"/>
                <w:sz w:val="16"/>
                <w:szCs w:val="16"/>
                <w:rtl w:val="0"/>
              </w:rPr>
              <w:t xml:space="preserve">COGNITIVE</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b w:val="1"/>
                <w:sz w:val="16"/>
                <w:szCs w:val="16"/>
              </w:rPr>
            </w:pPr>
            <w:r w:rsidDel="00000000" w:rsidR="00000000" w:rsidRPr="00000000">
              <w:rPr>
                <w:b w:val="1"/>
                <w:sz w:val="16"/>
                <w:szCs w:val="16"/>
                <w:rtl w:val="0"/>
              </w:rPr>
              <w:t xml:space="preserve">SLEEP</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b w:val="1"/>
                <w:sz w:val="16"/>
                <w:szCs w:val="16"/>
              </w:rPr>
            </w:pPr>
            <w:r w:rsidDel="00000000" w:rsidR="00000000" w:rsidRPr="00000000">
              <w:rPr>
                <w:b w:val="1"/>
                <w:sz w:val="16"/>
                <w:szCs w:val="16"/>
                <w:rtl w:val="0"/>
              </w:rPr>
              <w:t xml:space="preserve">RELAXATION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b w:val="1"/>
                <w:sz w:val="16"/>
                <w:szCs w:val="16"/>
              </w:rPr>
            </w:pPr>
            <w:r w:rsidDel="00000000" w:rsidR="00000000" w:rsidRPr="00000000">
              <w:rPr>
                <w:b w:val="1"/>
                <w:sz w:val="16"/>
                <w:szCs w:val="16"/>
                <w:rtl w:val="0"/>
              </w:rPr>
              <w:t xml:space="preserve">EMOTIONAL</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b w:val="1"/>
                <w:sz w:val="16"/>
                <w:szCs w:val="16"/>
              </w:rPr>
            </w:pPr>
            <w:r w:rsidDel="00000000" w:rsidR="00000000" w:rsidRPr="00000000">
              <w:rPr>
                <w:b w:val="1"/>
                <w:sz w:val="16"/>
                <w:szCs w:val="16"/>
                <w:rtl w:val="0"/>
              </w:rPr>
              <w:t xml:space="preserve">QUALITY OF LIFE</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b w:val="1"/>
                <w:sz w:val="16"/>
                <w:szCs w:val="16"/>
              </w:rPr>
            </w:pPr>
            <w:r w:rsidDel="00000000" w:rsidR="00000000" w:rsidRPr="00000000">
              <w:rPr>
                <w:b w:val="1"/>
                <w:sz w:val="16"/>
                <w:szCs w:val="16"/>
                <w:rtl w:val="0"/>
              </w:rPr>
              <w:t xml:space="preserve">INTRUSIVE</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b w:val="1"/>
                <w:sz w:val="16"/>
                <w:szCs w:val="16"/>
              </w:rPr>
            </w:pPr>
            <w:r w:rsidDel="00000000" w:rsidR="00000000" w:rsidRPr="00000000">
              <w:rPr>
                <w:b w:val="1"/>
                <w:sz w:val="16"/>
                <w:szCs w:val="16"/>
                <w:rtl w:val="0"/>
              </w:rPr>
              <w:t xml:space="preserve">SENSE OF CONTROL</w:t>
            </w:r>
          </w:p>
        </w:tc>
      </w:tr>
      <w:tr>
        <w:trPr>
          <w:trHeight w:val="51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b w:val="1"/>
              </w:rPr>
            </w:pPr>
            <w:r w:rsidDel="00000000" w:rsidR="00000000" w:rsidRPr="00000000">
              <w:rPr>
                <w:b w:val="1"/>
                <w:rtl w:val="0"/>
              </w:rPr>
              <w:t xml:space="preserve">Q4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color w:val="afabab"/>
                <w:sz w:val="18"/>
                <w:szCs w:val="18"/>
              </w:rPr>
            </w:pPr>
            <w:r w:rsidDel="00000000" w:rsidR="00000000" w:rsidRPr="00000000">
              <w:rPr>
                <w:color w:val="afabab"/>
                <w:sz w:val="18"/>
                <w:szCs w:val="18"/>
                <w:rtl w:val="0"/>
              </w:rPr>
              <w:t xml:space="preserve">0.07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color w:val="afabab"/>
                <w:sz w:val="18"/>
                <w:szCs w:val="18"/>
              </w:rPr>
            </w:pPr>
            <w:r w:rsidDel="00000000" w:rsidR="00000000" w:rsidRPr="00000000">
              <w:rPr>
                <w:color w:val="afabab"/>
                <w:sz w:val="18"/>
                <w:szCs w:val="18"/>
                <w:rtl w:val="0"/>
              </w:rPr>
              <w:t xml:space="preserve">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color w:val="afabab"/>
                <w:sz w:val="18"/>
                <w:szCs w:val="18"/>
              </w:rPr>
            </w:pPr>
            <w:r w:rsidDel="00000000" w:rsidR="00000000" w:rsidRPr="00000000">
              <w:rPr>
                <w:color w:val="afabab"/>
                <w:sz w:val="18"/>
                <w:szCs w:val="18"/>
                <w:rtl w:val="0"/>
              </w:rPr>
              <w:t xml:space="preserve">-0.16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sz w:val="18"/>
                <w:szCs w:val="18"/>
              </w:rPr>
            </w:pPr>
            <w:r w:rsidDel="00000000" w:rsidR="00000000" w:rsidRPr="00000000">
              <w:rPr>
                <w:sz w:val="18"/>
                <w:szCs w:val="18"/>
                <w:rtl w:val="0"/>
              </w:rPr>
              <w:t xml:space="preserve">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color w:val="afabab"/>
                <w:sz w:val="18"/>
                <w:szCs w:val="18"/>
              </w:rPr>
            </w:pPr>
            <w:r w:rsidDel="00000000" w:rsidR="00000000" w:rsidRPr="00000000">
              <w:rPr>
                <w:color w:val="afabab"/>
                <w:sz w:val="18"/>
                <w:szCs w:val="18"/>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color w:val="afabab"/>
                <w:sz w:val="18"/>
                <w:szCs w:val="18"/>
              </w:rPr>
            </w:pPr>
            <w:r w:rsidDel="00000000" w:rsidR="00000000" w:rsidRPr="00000000">
              <w:rPr>
                <w:color w:val="afabab"/>
                <w:sz w:val="18"/>
                <w:szCs w:val="18"/>
                <w:rtl w:val="0"/>
              </w:rPr>
              <w:t xml:space="preserve">-0.19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color w:val="afabab"/>
                <w:sz w:val="18"/>
                <w:szCs w:val="18"/>
              </w:rPr>
            </w:pPr>
            <w:r w:rsidDel="00000000" w:rsidR="00000000" w:rsidRPr="00000000">
              <w:rPr>
                <w:color w:val="afabab"/>
                <w:sz w:val="18"/>
                <w:szCs w:val="18"/>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sz w:val="18"/>
                <w:szCs w:val="18"/>
              </w:rPr>
            </w:pPr>
            <w:r w:rsidDel="00000000" w:rsidR="00000000" w:rsidRPr="00000000">
              <w:rPr>
                <w:sz w:val="18"/>
                <w:szCs w:val="18"/>
                <w:rtl w:val="0"/>
              </w:rPr>
              <w:t xml:space="preserve">0.29</w:t>
            </w:r>
          </w:p>
        </w:tc>
      </w:tr>
      <w:tr>
        <w:trPr>
          <w:trHeight w:val="51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b w:val="1"/>
              </w:rPr>
            </w:pPr>
            <w:r w:rsidDel="00000000" w:rsidR="00000000" w:rsidRPr="00000000">
              <w:rPr>
                <w:b w:val="1"/>
                <w:rtl w:val="0"/>
              </w:rPr>
              <w:t xml:space="preserve">Q22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color w:val="afabab"/>
                <w:sz w:val="18"/>
                <w:szCs w:val="18"/>
              </w:rPr>
            </w:pPr>
            <w:r w:rsidDel="00000000" w:rsidR="00000000" w:rsidRPr="00000000">
              <w:rPr>
                <w:color w:val="afabab"/>
                <w:sz w:val="18"/>
                <w:szCs w:val="18"/>
                <w:rtl w:val="0"/>
              </w:rPr>
              <w:t xml:space="preserve">-0.04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sz w:val="18"/>
                <w:szCs w:val="18"/>
              </w:rPr>
            </w:pPr>
            <w:r w:rsidDel="00000000" w:rsidR="00000000" w:rsidRPr="00000000">
              <w:rPr>
                <w:sz w:val="18"/>
                <w:szCs w:val="18"/>
                <w:rtl w:val="0"/>
              </w:rPr>
              <w:t xml:space="preserve">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color w:val="afabab"/>
                <w:sz w:val="18"/>
                <w:szCs w:val="18"/>
              </w:rPr>
            </w:pPr>
            <w:r w:rsidDel="00000000" w:rsidR="00000000" w:rsidRPr="00000000">
              <w:rPr>
                <w:color w:val="afabab"/>
                <w:sz w:val="18"/>
                <w:szCs w:val="18"/>
                <w:rtl w:val="0"/>
              </w:rPr>
              <w:t xml:space="preserve">0.08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color w:val="afabab"/>
                <w:sz w:val="18"/>
                <w:szCs w:val="18"/>
              </w:rPr>
            </w:pPr>
            <w:r w:rsidDel="00000000" w:rsidR="00000000" w:rsidRPr="00000000">
              <w:rPr>
                <w:color w:val="afabab"/>
                <w:sz w:val="18"/>
                <w:szCs w:val="18"/>
                <w:rtl w:val="0"/>
              </w:rPr>
              <w:t xml:space="preserve">0.11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color w:val="afabab"/>
                <w:sz w:val="18"/>
                <w:szCs w:val="18"/>
              </w:rPr>
            </w:pPr>
            <w:r w:rsidDel="00000000" w:rsidR="00000000" w:rsidRPr="00000000">
              <w:rPr>
                <w:color w:val="afabab"/>
                <w:sz w:val="18"/>
                <w:szCs w:val="18"/>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sz w:val="18"/>
                <w:szCs w:val="18"/>
              </w:rPr>
            </w:pPr>
            <w:r w:rsidDel="00000000" w:rsidR="00000000" w:rsidRPr="00000000">
              <w:rPr>
                <w:sz w:val="18"/>
                <w:szCs w:val="18"/>
                <w:rtl w:val="0"/>
              </w:rPr>
              <w:t xml:space="preserve">0.31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color w:val="afabab"/>
                <w:sz w:val="18"/>
                <w:szCs w:val="18"/>
              </w:rPr>
            </w:pPr>
            <w:r w:rsidDel="00000000" w:rsidR="00000000" w:rsidRPr="00000000">
              <w:rPr>
                <w:color w:val="afabab"/>
                <w:sz w:val="18"/>
                <w:szCs w:val="18"/>
                <w:rtl w:val="0"/>
              </w:rPr>
              <w:t xml:space="preserve">-0.03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color w:val="afabab"/>
                <w:sz w:val="18"/>
                <w:szCs w:val="18"/>
              </w:rPr>
            </w:pPr>
            <w:r w:rsidDel="00000000" w:rsidR="00000000" w:rsidRPr="00000000">
              <w:rPr>
                <w:color w:val="afabab"/>
                <w:sz w:val="18"/>
                <w:szCs w:val="18"/>
                <w:rtl w:val="0"/>
              </w:rPr>
              <w:t xml:space="preserve">0</w:t>
            </w:r>
          </w:p>
        </w:tc>
      </w:tr>
    </w:tbl>
    <w:p w:rsidR="00000000" w:rsidDel="00000000" w:rsidP="00000000" w:rsidRDefault="00000000" w:rsidRPr="00000000" w14:paraId="00000091">
      <w:pPr>
        <w:spacing w:after="240" w:before="240" w:lineRule="auto"/>
        <w:rPr/>
      </w:pPr>
      <w:r w:rsidDel="00000000" w:rsidR="00000000" w:rsidRPr="00000000">
        <w:rPr>
          <w:rtl w:val="0"/>
        </w:rPr>
        <w:t xml:space="preserve">In addition to questions Q4 and Q22, other questions belong to the same subscales as the existing TFI. </w:t>
      </w:r>
    </w:p>
    <w:p w:rsidR="00000000" w:rsidDel="00000000" w:rsidP="00000000" w:rsidRDefault="00000000" w:rsidRPr="00000000" w14:paraId="00000092">
      <w:pPr>
        <w:spacing w:after="240" w:before="240" w:lineRule="auto"/>
        <w:rPr>
          <w:b w:val="1"/>
          <w:u w:val="single"/>
        </w:rPr>
      </w:pPr>
      <w:r w:rsidDel="00000000" w:rsidR="00000000" w:rsidRPr="00000000">
        <w:rPr>
          <w:b w:val="1"/>
          <w:u w:val="single"/>
          <w:rtl w:val="0"/>
        </w:rPr>
        <w:t xml:space="preserve">Key takeaways from EFA:</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rtl w:val="0"/>
        </w:rPr>
        <w:t xml:space="preserve">THI was not reproduced by EFA</w:t>
      </w:r>
    </w:p>
    <w:p w:rsidR="00000000" w:rsidDel="00000000" w:rsidP="00000000" w:rsidRDefault="00000000" w:rsidRPr="00000000" w14:paraId="00000094">
      <w:pPr>
        <w:numPr>
          <w:ilvl w:val="0"/>
          <w:numId w:val="6"/>
        </w:numPr>
        <w:spacing w:after="0" w:afterAutospacing="0"/>
        <w:ind w:left="720" w:hanging="360"/>
      </w:pPr>
      <w:r w:rsidDel="00000000" w:rsidR="00000000" w:rsidRPr="00000000">
        <w:rPr>
          <w:rtl w:val="0"/>
        </w:rPr>
        <w:t xml:space="preserve">TPFQ was mostly reproduced by EFA</w:t>
      </w:r>
    </w:p>
    <w:p w:rsidR="00000000" w:rsidDel="00000000" w:rsidP="00000000" w:rsidRDefault="00000000" w:rsidRPr="00000000" w14:paraId="00000095">
      <w:pPr>
        <w:numPr>
          <w:ilvl w:val="0"/>
          <w:numId w:val="6"/>
        </w:numPr>
        <w:spacing w:after="0" w:afterAutospacing="0"/>
        <w:ind w:left="720" w:hanging="360"/>
      </w:pPr>
      <w:r w:rsidDel="00000000" w:rsidR="00000000" w:rsidRPr="00000000">
        <w:rPr>
          <w:rtl w:val="0"/>
        </w:rPr>
        <w:t xml:space="preserve">TFI was reproduced by EFA successfully</w:t>
      </w:r>
    </w:p>
    <w:p w:rsidR="00000000" w:rsidDel="00000000" w:rsidP="00000000" w:rsidRDefault="00000000" w:rsidRPr="00000000" w14:paraId="00000096">
      <w:pPr>
        <w:numPr>
          <w:ilvl w:val="0"/>
          <w:numId w:val="6"/>
        </w:numPr>
        <w:ind w:left="720" w:hanging="360"/>
        <w:rPr>
          <w:u w:val="none"/>
        </w:rPr>
      </w:pPr>
      <w:r w:rsidDel="00000000" w:rsidR="00000000" w:rsidRPr="00000000">
        <w:rPr>
          <w:rtl w:val="0"/>
        </w:rPr>
        <w:t xml:space="preserve">TPFQ and TFI have a few questions which may be miscategorized. These questions might be removed to improve consistency.</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1"/>
        <w:rPr/>
      </w:pPr>
      <w:bookmarkStart w:colFirst="0" w:colLast="0" w:name="_heading=h.agfznb4er2iq" w:id="4"/>
      <w:bookmarkEnd w:id="4"/>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heading=h.4tv7brdoar60" w:id="5"/>
      <w:bookmarkEnd w:id="5"/>
      <w:r w:rsidDel="00000000" w:rsidR="00000000" w:rsidRPr="00000000">
        <w:rPr>
          <w:rtl w:val="0"/>
        </w:rPr>
        <w:t xml:space="preserve">Internal Validity</w:t>
      </w:r>
    </w:p>
    <w:p w:rsidR="00000000" w:rsidDel="00000000" w:rsidP="00000000" w:rsidRDefault="00000000" w:rsidRPr="00000000" w14:paraId="0000009A">
      <w:pPr>
        <w:rPr/>
      </w:pPr>
      <w:r w:rsidDel="00000000" w:rsidR="00000000" w:rsidRPr="00000000">
        <w:rPr>
          <w:rtl w:val="0"/>
        </w:rPr>
        <w:t xml:space="preserve">How well do the subscales describe the responses to that survey? Ideally if we knew the subscales of a survey, we would have a good idea of how that subject responded to individual questions in the survey.</w:t>
      </w:r>
    </w:p>
    <w:p w:rsidR="00000000" w:rsidDel="00000000" w:rsidP="00000000" w:rsidRDefault="00000000" w:rsidRPr="00000000" w14:paraId="0000009B">
      <w:pPr>
        <w:rPr/>
      </w:pPr>
      <w:r w:rsidDel="00000000" w:rsidR="00000000" w:rsidRPr="00000000">
        <w:rPr>
          <w:rtl w:val="0"/>
        </w:rPr>
        <w:t xml:space="preserve">First we examine how well the survey responses are explained given different choices of subscales:</w:t>
      </w:r>
    </w:p>
    <w:p w:rsidR="00000000" w:rsidDel="00000000" w:rsidP="00000000" w:rsidRDefault="00000000" w:rsidRPr="00000000" w14:paraId="0000009C">
      <w:pPr>
        <w:rPr/>
      </w:pPr>
      <w:r w:rsidDel="00000000" w:rsidR="00000000" w:rsidRPr="00000000">
        <w:rPr/>
        <w:drawing>
          <wp:inline distB="0" distT="0" distL="0" distR="0">
            <wp:extent cx="1775339" cy="1266825"/>
            <wp:effectExtent b="0" l="0" r="0" t="0"/>
            <wp:docPr id="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75339" cy="12668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59900" cy="1396093"/>
            <wp:effectExtent b="0" l="0" r="0" t="0"/>
            <wp:docPr id="3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59900" cy="1396093"/>
                    </a:xfrm>
                    <a:prstGeom prst="rect"/>
                    <a:ln/>
                  </pic:spPr>
                </pic:pic>
              </a:graphicData>
            </a:graphic>
          </wp:inline>
        </w:drawing>
      </w:r>
      <w:r w:rsidDel="00000000" w:rsidR="00000000" w:rsidRPr="00000000">
        <w:rPr/>
        <w:drawing>
          <wp:inline distB="0" distT="0" distL="0" distR="0">
            <wp:extent cx="2027074" cy="1447909"/>
            <wp:effectExtent b="0" l="0" r="0" t="0"/>
            <wp:docPr id="3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27074" cy="144790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i w:val="1"/>
          <w:rtl w:val="0"/>
        </w:rPr>
        <w:t xml:space="preserve">Note</w:t>
      </w:r>
      <w:r w:rsidDel="00000000" w:rsidR="00000000" w:rsidRPr="00000000">
        <w:rPr>
          <w:rtl w:val="0"/>
        </w:rPr>
        <w:t xml:space="preserve">: Above we examine how well different subscales explain the variation in survey responses across all questions. We compare the goodness of fit of the existing subscales (red), EFA custom subscales (blue), and randomly permuted subscales (black).</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Now we examine how well each existing subscale explains the questions related to that subscale.</w:t>
      </w:r>
    </w:p>
    <w:p w:rsidR="00000000" w:rsidDel="00000000" w:rsidP="00000000" w:rsidRDefault="00000000" w:rsidRPr="00000000" w14:paraId="000000A0">
      <w:pPr>
        <w:rPr/>
      </w:pPr>
      <w:r w:rsidDel="00000000" w:rsidR="00000000" w:rsidRPr="00000000">
        <w:rPr/>
        <w:drawing>
          <wp:inline distB="0" distT="0" distL="0" distR="0">
            <wp:extent cx="1885950" cy="1347165"/>
            <wp:effectExtent b="0" l="0" r="0" t="0"/>
            <wp:docPr id="4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885950" cy="134716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97182" cy="1353857"/>
            <wp:effectExtent b="0" l="0" r="0" t="0"/>
            <wp:docPr id="3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897182" cy="135385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57363" cy="1256432"/>
            <wp:effectExtent b="0" l="0" r="0" t="0"/>
            <wp:docPr id="4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57363" cy="125643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i w:val="1"/>
          <w:rtl w:val="0"/>
        </w:rPr>
        <w:t xml:space="preserve">Note</w:t>
      </w:r>
      <w:r w:rsidDel="00000000" w:rsidR="00000000" w:rsidRPr="00000000">
        <w:rPr>
          <w:rtl w:val="0"/>
        </w:rPr>
        <w:t xml:space="preserve">: Above we examine how well individual subscales explain their corresponding questions. For example how well does the emotional subscale explain variation in the emotion questions?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Key takeaways from internal validity:</w:t>
      </w:r>
    </w:p>
    <w:p w:rsidR="00000000" w:rsidDel="00000000" w:rsidP="00000000" w:rsidRDefault="00000000" w:rsidRPr="00000000" w14:paraId="000000A4">
      <w:pPr>
        <w:numPr>
          <w:ilvl w:val="0"/>
          <w:numId w:val="3"/>
        </w:numPr>
        <w:spacing w:after="0" w:afterAutospacing="0"/>
        <w:ind w:left="720" w:hanging="360"/>
        <w:rPr>
          <w:u w:val="none"/>
        </w:rPr>
      </w:pPr>
      <w:r w:rsidDel="00000000" w:rsidR="00000000" w:rsidRPr="00000000">
        <w:rPr>
          <w:rtl w:val="0"/>
        </w:rPr>
        <w:t xml:space="preserve">THI does little better than random subscales and much worse than ideal EFA.</w:t>
      </w:r>
    </w:p>
    <w:p w:rsidR="00000000" w:rsidDel="00000000" w:rsidP="00000000" w:rsidRDefault="00000000" w:rsidRPr="00000000" w14:paraId="000000A5">
      <w:pPr>
        <w:numPr>
          <w:ilvl w:val="0"/>
          <w:numId w:val="3"/>
        </w:numPr>
        <w:spacing w:after="0" w:afterAutospacing="0"/>
        <w:ind w:left="720" w:hanging="360"/>
        <w:rPr>
          <w:u w:val="none"/>
        </w:rPr>
      </w:pPr>
      <w:r w:rsidDel="00000000" w:rsidR="00000000" w:rsidRPr="00000000">
        <w:rPr>
          <w:rtl w:val="0"/>
        </w:rPr>
        <w:t xml:space="preserve">TPFQ and TFI do much better than random subscales and perform similarly to ideal EFA.</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TFI has slightly better internal validity, but this may be because it has more subscales allowing for a more customized fit.</w:t>
      </w:r>
    </w:p>
    <w:p w:rsidR="00000000" w:rsidDel="00000000" w:rsidP="00000000" w:rsidRDefault="00000000" w:rsidRPr="00000000" w14:paraId="000000A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Comprehensiveness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How well does one survey predict another survey? If one survey predicts another perfectly, then the first survey is comprehensive enough that there is no need to ask the second survey.</w:t>
      </w:r>
    </w:p>
    <w:tbl>
      <w:tblPr>
        <w:tblStyle w:val="Table6"/>
        <w:tblW w:w="8505.0" w:type="dxa"/>
        <w:jc w:val="left"/>
        <w:tblInd w:w="0.0" w:type="dxa"/>
        <w:tblLayout w:type="fixed"/>
        <w:tblLook w:val="0400"/>
      </w:tblPr>
      <w:tblGrid>
        <w:gridCol w:w="810"/>
        <w:gridCol w:w="1455"/>
        <w:gridCol w:w="660"/>
        <w:gridCol w:w="750"/>
        <w:gridCol w:w="660"/>
        <w:gridCol w:w="4170"/>
        <w:tblGridChange w:id="0">
          <w:tblGrid>
            <w:gridCol w:w="810"/>
            <w:gridCol w:w="1455"/>
            <w:gridCol w:w="660"/>
            <w:gridCol w:w="750"/>
            <w:gridCol w:w="660"/>
            <w:gridCol w:w="4170"/>
          </w:tblGrid>
        </w:tblGridChange>
      </w:tblGrid>
      <w:tr>
        <w:trPr>
          <w:trHeight w:val="375" w:hRule="atLeast"/>
        </w:trPr>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jc w:val="center"/>
              <w:rPr>
                <w:b w:val="1"/>
                <w:sz w:val="20"/>
                <w:szCs w:val="20"/>
              </w:rPr>
            </w:pPr>
            <w:r w:rsidDel="00000000" w:rsidR="00000000" w:rsidRPr="00000000">
              <w:rPr>
                <w:b w:val="1"/>
                <w:sz w:val="20"/>
                <w:szCs w:val="20"/>
                <w:rtl w:val="0"/>
              </w:rPr>
              <w:t xml:space="preserve">Overall</w:t>
            </w:r>
          </w:p>
          <w:p w:rsidR="00000000" w:rsidDel="00000000" w:rsidP="00000000" w:rsidRDefault="00000000" w:rsidRPr="00000000" w14:paraId="000000AB">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Variation Explained (%)</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Predicted Survey</w:t>
            </w:r>
          </w:p>
        </w:tc>
        <w:tc>
          <w:tcPr>
            <w:vMerge w:val="restart"/>
            <w:tcBorders>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0">
            <w:pPr>
              <w:jc w:val="center"/>
              <w:rPr>
                <w:rFonts w:ascii="Calibri" w:cs="Calibri" w:eastAsia="Calibri" w:hAnsi="Calibri"/>
                <w:b w:val="1"/>
                <w:color w:val="000000"/>
                <w:sz w:val="20"/>
                <w:szCs w:val="20"/>
              </w:rPr>
            </w:pPr>
            <w:r w:rsidDel="00000000" w:rsidR="00000000" w:rsidRPr="00000000">
              <w:rPr/>
              <w:drawing>
                <wp:inline distB="0" distT="0" distL="0" distR="0">
                  <wp:extent cx="2105025" cy="2155871"/>
                  <wp:effectExtent b="0" l="0" r="0" t="0"/>
                  <wp:docPr id="4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105025" cy="2155871"/>
                          </a:xfrm>
                          <a:prstGeom prst="rect"/>
                          <a:ln/>
                        </pic:spPr>
                      </pic:pic>
                    </a:graphicData>
                  </a:graphic>
                </wp:inline>
              </w:drawing>
            </w:r>
            <w:r w:rsidDel="00000000" w:rsidR="00000000" w:rsidRPr="00000000">
              <w:rPr>
                <w:rtl w:val="0"/>
              </w:rPr>
            </w:r>
          </w:p>
        </w:tc>
      </w:tr>
      <w:tr>
        <w:trPr>
          <w:trHeight w:val="300" w:hRule="atLeast"/>
        </w:trPr>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THI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TPFQ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TFI</w:t>
            </w:r>
          </w:p>
        </w:tc>
        <w:tc>
          <w:tcPr>
            <w:vMerge w:val="continue"/>
            <w:tcBorders>
              <w:top w:color="000000" w:space="0" w:sz="0" w:val="nil"/>
              <w:left w:color="000000" w:space="0" w:sz="0" w:val="nil"/>
              <w:bottom w:color="000000" w:space="0" w:sz="4" w:val="single"/>
            </w:tcBorders>
            <w:shd w:fill="auto" w:val="clear"/>
            <w:vAlign w:val="bottom"/>
          </w:tcPr>
          <w:p w:rsidR="00000000" w:rsidDel="00000000" w:rsidP="00000000" w:rsidRDefault="00000000" w:rsidRPr="00000000" w14:paraId="000000B6">
            <w:pPr>
              <w:spacing w:after="0" w:before="0" w:line="240" w:lineRule="auto"/>
              <w:ind w:left="0" w:firstLine="0"/>
              <w:rPr>
                <w:rFonts w:ascii="Calibri" w:cs="Calibri" w:eastAsia="Calibri" w:hAnsi="Calibri"/>
                <w:b w:val="1"/>
                <w:color w:val="000000"/>
                <w:sz w:val="20"/>
                <w:szCs w:val="20"/>
              </w:rPr>
            </w:pPr>
            <w:r w:rsidDel="00000000" w:rsidR="00000000" w:rsidRPr="00000000">
              <w:rPr>
                <w:rtl w:val="0"/>
              </w:rPr>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7">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Input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THI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47%</w:t>
            </w:r>
          </w:p>
        </w:tc>
        <w:tc>
          <w:tcPr>
            <w:vMerge w:val="continue"/>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C">
            <w:pPr>
              <w:spacing w:after="0" w:before="0" w:line="240" w:lineRule="auto"/>
              <w:ind w:left="0" w:firstLine="0"/>
              <w:jc w:val="right"/>
              <w:rPr>
                <w:rFonts w:ascii="Calibri" w:cs="Calibri" w:eastAsia="Calibri" w:hAnsi="Calibri"/>
                <w:color w:val="000000"/>
                <w:sz w:val="20"/>
                <w:szCs w:val="20"/>
              </w:rPr>
            </w:pPr>
            <w:r w:rsidDel="00000000" w:rsidR="00000000" w:rsidRPr="00000000">
              <w:rPr>
                <w:rtl w:val="0"/>
              </w:rPr>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TPFQ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0C1">
            <w:pPr>
              <w:spacing w:after="0" w:line="240" w:lineRule="auto"/>
              <w:jc w:val="right"/>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63%</w:t>
            </w:r>
          </w:p>
        </w:tc>
        <w:tc>
          <w:tcPr>
            <w:vMerge w:val="continue"/>
            <w:tcBorders>
              <w:top w:color="000000" w:space="0" w:sz="0" w:val="nil"/>
              <w:left w:color="000000" w:space="0" w:sz="0" w:val="nil"/>
              <w:bottom w:color="000000" w:space="0" w:sz="4" w:val="single"/>
            </w:tcBorders>
            <w:shd w:fill="ffe599" w:val="clear"/>
            <w:vAlign w:val="bottom"/>
          </w:tcPr>
          <w:p w:rsidR="00000000" w:rsidDel="00000000" w:rsidP="00000000" w:rsidRDefault="00000000" w:rsidRPr="00000000" w14:paraId="000000C2">
            <w:pPr>
              <w:spacing w:after="0" w:before="0" w:line="240" w:lineRule="auto"/>
              <w:ind w:left="0" w:firstLine="0"/>
              <w:jc w:val="right"/>
              <w:rPr>
                <w:rFonts w:ascii="Calibri" w:cs="Calibri" w:eastAsia="Calibri" w:hAnsi="Calibri"/>
                <w:b w:val="1"/>
                <w:color w:val="000000"/>
                <w:sz w:val="20"/>
                <w:szCs w:val="20"/>
              </w:rPr>
            </w:pPr>
            <w:r w:rsidDel="00000000" w:rsidR="00000000" w:rsidRPr="00000000">
              <w:rPr>
                <w:rtl w:val="0"/>
              </w:rPr>
            </w:r>
          </w:p>
        </w:tc>
      </w:tr>
      <w:tr>
        <w:trPr>
          <w:trHeight w:val="270" w:hRule="atLeast"/>
        </w:trPr>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TFI</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0C5">
            <w:pPr>
              <w:spacing w:after="0" w:line="240" w:lineRule="auto"/>
              <w:jc w:val="right"/>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65%</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0C6">
            <w:pPr>
              <w:spacing w:after="0" w:line="240" w:lineRule="auto"/>
              <w:jc w:val="right"/>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72%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vMerge w:val="continue"/>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before="0" w:line="240" w:lineRule="auto"/>
              <w:ind w:left="0" w:firstLine="0"/>
              <w:rPr>
                <w:rFonts w:ascii="Calibri" w:cs="Calibri" w:eastAsia="Calibri" w:hAnsi="Calibri"/>
                <w:color w:val="000000"/>
                <w:sz w:val="20"/>
                <w:szCs w:val="20"/>
              </w:rPr>
            </w:pPr>
            <w:r w:rsidDel="00000000" w:rsidR="00000000" w:rsidRPr="00000000">
              <w:rPr>
                <w:rtl w:val="0"/>
              </w:rPr>
            </w:r>
          </w:p>
        </w:tc>
      </w:tr>
      <w:tr>
        <w:trPr>
          <w:trHeight w:val="2006.2605794270835" w:hRule="atLeast"/>
        </w:trPr>
        <w:tc>
          <w:tcPr>
            <w:tcBorders>
              <w:top w:color="000000" w:space="0" w:sz="0" w:val="nil"/>
            </w:tcBorders>
            <w:shd w:fill="auto" w:val="clear"/>
            <w:vAlign w:val="bottom"/>
          </w:tcPr>
          <w:p w:rsidR="00000000" w:rsidDel="00000000" w:rsidP="00000000" w:rsidRDefault="00000000" w:rsidRPr="00000000" w14:paraId="000000C9">
            <w:pPr>
              <w:spacing w:after="0" w:line="240" w:lineRule="auto"/>
              <w:jc w:val="center"/>
              <w:rPr>
                <w:rFonts w:ascii="Calibri" w:cs="Calibri" w:eastAsia="Calibri" w:hAnsi="Calibri"/>
                <w:b w:val="1"/>
                <w:color w:val="000000"/>
                <w:sz w:val="20"/>
                <w:szCs w:val="20"/>
              </w:rPr>
            </w:pP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0CA">
            <w:pPr>
              <w:spacing w:after="0" w:line="240" w:lineRule="auto"/>
              <w:rPr>
                <w:rFonts w:ascii="Calibri" w:cs="Calibri" w:eastAsia="Calibri" w:hAnsi="Calibri"/>
                <w:b w:val="1"/>
                <w:color w:val="000000"/>
                <w:sz w:val="20"/>
                <w:szCs w:val="20"/>
              </w:rPr>
            </w:pP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0CB">
            <w:pPr>
              <w:spacing w:after="0" w:line="240" w:lineRule="auto"/>
              <w:rPr>
                <w:rFonts w:ascii="Calibri" w:cs="Calibri" w:eastAsia="Calibri" w:hAnsi="Calibri"/>
                <w:color w:val="000000"/>
                <w:sz w:val="20"/>
                <w:szCs w:val="20"/>
              </w:rPr>
            </w:pP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0CC">
            <w:pPr>
              <w:spacing w:after="0" w:line="240" w:lineRule="auto"/>
              <w:jc w:val="right"/>
              <w:rPr>
                <w:rFonts w:ascii="Calibri" w:cs="Calibri" w:eastAsia="Calibri" w:hAnsi="Calibri"/>
                <w:color w:val="000000"/>
                <w:sz w:val="20"/>
                <w:szCs w:val="20"/>
              </w:rPr>
            </w:pP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0CD">
            <w:pPr>
              <w:spacing w:after="0" w:line="240" w:lineRule="auto"/>
              <w:jc w:val="right"/>
              <w:rPr>
                <w:rFonts w:ascii="Calibri" w:cs="Calibri" w:eastAsia="Calibri" w:hAnsi="Calibri"/>
                <w:color w:val="000000"/>
                <w:sz w:val="20"/>
                <w:szCs w:val="20"/>
              </w:rPr>
            </w:pPr>
            <w:r w:rsidDel="00000000" w:rsidR="00000000" w:rsidRPr="00000000">
              <w:rPr>
                <w:rtl w:val="0"/>
              </w:rPr>
            </w:r>
          </w:p>
        </w:tc>
        <w:tc>
          <w:tcPr>
            <w:vMerge w:val="continue"/>
            <w:tcBorders>
              <w:top w:color="000000" w:space="0" w:sz="0" w:val="nil"/>
            </w:tcBorders>
            <w:shd w:fill="auto" w:val="clear"/>
            <w:vAlign w:val="bottom"/>
          </w:tcPr>
          <w:p w:rsidR="00000000" w:rsidDel="00000000" w:rsidP="00000000" w:rsidRDefault="00000000" w:rsidRPr="00000000" w14:paraId="000000CE">
            <w:pPr>
              <w:spacing w:after="0" w:before="0" w:line="240" w:lineRule="auto"/>
              <w:ind w:left="0" w:firstLine="0"/>
              <w:jc w:val="right"/>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i w:val="1"/>
          <w:rtl w:val="0"/>
        </w:rPr>
        <w:t xml:space="preserve">Left</w:t>
      </w:r>
      <w:r w:rsidDel="00000000" w:rsidR="00000000" w:rsidRPr="00000000">
        <w:rPr>
          <w:rtl w:val="0"/>
        </w:rPr>
        <w:t xml:space="preserve">: How well do the subscales of the input survey predict the subscales of the predicted survey, on average? e.g. The TFI subscales explain 65% of the variation in the THI subcales in a GLM.</w:t>
      </w:r>
    </w:p>
    <w:p w:rsidR="00000000" w:rsidDel="00000000" w:rsidP="00000000" w:rsidRDefault="00000000" w:rsidRPr="00000000" w14:paraId="000000D1">
      <w:pPr>
        <w:ind w:left="720" w:firstLine="0"/>
        <w:rPr/>
      </w:pPr>
      <w:r w:rsidDel="00000000" w:rsidR="00000000" w:rsidRPr="00000000">
        <w:rPr>
          <w:i w:val="1"/>
          <w:rtl w:val="0"/>
        </w:rPr>
        <w:t xml:space="preserve">Right</w:t>
      </w:r>
      <w:r w:rsidDel="00000000" w:rsidR="00000000" w:rsidRPr="00000000">
        <w:rPr>
          <w:rtl w:val="0"/>
        </w:rPr>
        <w:t xml:space="preserve">: Each dot represents an individual THI question. That question is predicted with the TFI subscales (bottom) and the TPFQ subscales (right).</w:t>
      </w:r>
      <w:r w:rsidDel="00000000" w:rsidR="00000000" w:rsidRPr="00000000">
        <w:rPr>
          <w:rtl w:val="0"/>
        </w:rPr>
      </w:r>
    </w:p>
    <w:tbl>
      <w:tblPr>
        <w:tblStyle w:val="Table7"/>
        <w:tblW w:w="10721.0" w:type="dxa"/>
        <w:jc w:val="left"/>
        <w:tblInd w:w="0.0" w:type="dxa"/>
        <w:tblLayout w:type="fixed"/>
        <w:tblLook w:val="0400"/>
      </w:tblPr>
      <w:tblGrid>
        <w:gridCol w:w="1548"/>
        <w:gridCol w:w="1101"/>
        <w:gridCol w:w="931"/>
        <w:gridCol w:w="236"/>
        <w:gridCol w:w="1772"/>
        <w:gridCol w:w="1133"/>
        <w:gridCol w:w="246"/>
        <w:gridCol w:w="1782"/>
        <w:gridCol w:w="1131"/>
        <w:gridCol w:w="841"/>
        <w:tblGridChange w:id="0">
          <w:tblGrid>
            <w:gridCol w:w="1548"/>
            <w:gridCol w:w="1101"/>
            <w:gridCol w:w="931"/>
            <w:gridCol w:w="236"/>
            <w:gridCol w:w="1772"/>
            <w:gridCol w:w="1133"/>
            <w:gridCol w:w="246"/>
            <w:gridCol w:w="1782"/>
            <w:gridCol w:w="1131"/>
            <w:gridCol w:w="841"/>
          </w:tblGrid>
        </w:tblGridChange>
      </w:tblGrid>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2">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Predicting THI</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Explained Variance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5">
            <w:pPr>
              <w:spacing w:after="0" w:line="240" w:lineRule="auto"/>
              <w:rPr>
                <w:rFonts w:ascii="Calibri" w:cs="Calibri" w:eastAsia="Calibri" w:hAnsi="Calibri"/>
                <w:color w:val="000000"/>
                <w:sz w:val="16"/>
                <w:szCs w:val="1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6">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TPFQ predicting TFI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8">
            <w:pPr>
              <w:spacing w:after="0" w:line="240" w:lineRule="auto"/>
              <w:rPr>
                <w:rFonts w:ascii="Calibri" w:cs="Calibri" w:eastAsia="Calibri" w:hAnsi="Calibri"/>
                <w:b w:val="1"/>
                <w:color w:val="000000"/>
                <w:sz w:val="16"/>
                <w:szCs w:val="16"/>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9">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TFI Predicting TPFQ</w:t>
            </w:r>
          </w:p>
        </w:tc>
      </w:tr>
      <w:tr>
        <w:trPr>
          <w:trHeight w:val="300" w:hRule="atLeast"/>
        </w:trPr>
        <w:tc>
          <w:tcPr>
            <w:tcBorders>
              <w:top w:color="8ea9db" w:space="0" w:sz="4" w:val="single"/>
              <w:left w:color="8ea9db" w:space="0" w:sz="4" w:val="single"/>
              <w:bottom w:color="8ea9db" w:space="0" w:sz="4" w:val="single"/>
              <w:right w:color="000000" w:space="0" w:sz="0" w:val="nil"/>
            </w:tcBorders>
            <w:shd w:fill="4472c4" w:val="clear"/>
            <w:vAlign w:val="bottom"/>
          </w:tcPr>
          <w:p w:rsidR="00000000" w:rsidDel="00000000" w:rsidP="00000000" w:rsidRDefault="00000000" w:rsidRPr="00000000" w14:paraId="000000DC">
            <w:pPr>
              <w:spacing w:after="0" w:line="240" w:lineRule="auto"/>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Predicted Subscale</w:t>
            </w:r>
          </w:p>
        </w:tc>
        <w:tc>
          <w:tcPr>
            <w:tcBorders>
              <w:top w:color="8ea9db" w:space="0" w:sz="4" w:val="single"/>
              <w:left w:color="000000" w:space="0" w:sz="0" w:val="nil"/>
              <w:bottom w:color="8ea9db" w:space="0" w:sz="4" w:val="single"/>
              <w:right w:color="000000" w:space="0" w:sz="0" w:val="nil"/>
            </w:tcBorders>
            <w:shd w:fill="4472c4" w:val="clear"/>
            <w:vAlign w:val="bottom"/>
          </w:tcPr>
          <w:p w:rsidR="00000000" w:rsidDel="00000000" w:rsidP="00000000" w:rsidRDefault="00000000" w:rsidRPr="00000000" w14:paraId="000000DD">
            <w:pPr>
              <w:spacing w:after="0" w:line="240" w:lineRule="auto"/>
              <w:jc w:val="center"/>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from TPFQ</w:t>
            </w:r>
          </w:p>
        </w:tc>
        <w:tc>
          <w:tcPr>
            <w:tcBorders>
              <w:top w:color="8ea9db" w:space="0" w:sz="4" w:val="single"/>
              <w:left w:color="000000" w:space="0" w:sz="0" w:val="nil"/>
              <w:bottom w:color="8ea9db" w:space="0" w:sz="4" w:val="single"/>
              <w:right w:color="8ea9db" w:space="0" w:sz="4" w:val="single"/>
            </w:tcBorders>
            <w:shd w:fill="4472c4" w:val="clear"/>
            <w:vAlign w:val="bottom"/>
          </w:tcPr>
          <w:p w:rsidR="00000000" w:rsidDel="00000000" w:rsidP="00000000" w:rsidRDefault="00000000" w:rsidRPr="00000000" w14:paraId="000000DE">
            <w:pPr>
              <w:spacing w:after="0" w:line="240" w:lineRule="auto"/>
              <w:jc w:val="center"/>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from TFI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F">
            <w:pPr>
              <w:spacing w:after="0" w:line="240" w:lineRule="auto"/>
              <w:rPr>
                <w:rFonts w:ascii="Calibri" w:cs="Calibri" w:eastAsia="Calibri" w:hAnsi="Calibri"/>
                <w:b w:val="1"/>
                <w:color w:val="ffffff"/>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4472c4" w:val="clear"/>
            <w:vAlign w:val="bottom"/>
          </w:tcPr>
          <w:p w:rsidR="00000000" w:rsidDel="00000000" w:rsidP="00000000" w:rsidRDefault="00000000" w:rsidRPr="00000000" w14:paraId="000000E0">
            <w:pPr>
              <w:spacing w:after="0" w:line="240" w:lineRule="auto"/>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Predicted Subscale</w:t>
            </w:r>
          </w:p>
        </w:tc>
        <w:tc>
          <w:tcPr>
            <w:tcBorders>
              <w:top w:color="8ea9db" w:space="0" w:sz="4" w:val="single"/>
              <w:left w:color="000000" w:space="0" w:sz="0" w:val="nil"/>
              <w:bottom w:color="8ea9db" w:space="0" w:sz="4" w:val="single"/>
              <w:right w:color="8ea9db" w:space="0" w:sz="4" w:val="single"/>
            </w:tcBorders>
            <w:shd w:fill="4472c4" w:val="clear"/>
            <w:vAlign w:val="bottom"/>
          </w:tcPr>
          <w:p w:rsidR="00000000" w:rsidDel="00000000" w:rsidP="00000000" w:rsidRDefault="00000000" w:rsidRPr="00000000" w14:paraId="000000E1">
            <w:pPr>
              <w:spacing w:after="0" w:line="240" w:lineRule="auto"/>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Explained </w:t>
            </w:r>
          </w:p>
          <w:p w:rsidR="00000000" w:rsidDel="00000000" w:rsidP="00000000" w:rsidRDefault="00000000" w:rsidRPr="00000000" w14:paraId="000000E2">
            <w:pPr>
              <w:spacing w:after="0" w:line="240" w:lineRule="auto"/>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Variance (%)</w:t>
            </w:r>
          </w:p>
        </w:tc>
        <w:tc>
          <w:tcPr>
            <w:tcBorders>
              <w:top w:color="8ea9db" w:space="0" w:sz="4" w:val="single"/>
              <w:left w:color="000000" w:space="0" w:sz="0" w:val="nil"/>
              <w:bottom w:color="8ea9db" w:space="0" w:sz="4" w:val="single"/>
              <w:right w:color="8ea9db" w:space="0" w:sz="4" w:val="single"/>
            </w:tcBorders>
            <w:shd w:fill="auto" w:val="clear"/>
            <w:vAlign w:val="bottom"/>
          </w:tcPr>
          <w:p w:rsidR="00000000" w:rsidDel="00000000" w:rsidP="00000000" w:rsidRDefault="00000000" w:rsidRPr="00000000" w14:paraId="000000E3">
            <w:pPr>
              <w:spacing w:after="0" w:line="240" w:lineRule="auto"/>
              <w:rPr>
                <w:rFonts w:ascii="Calibri" w:cs="Calibri" w:eastAsia="Calibri" w:hAnsi="Calibri"/>
                <w:b w:val="1"/>
                <w:color w:val="ffffff"/>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4472c4" w:val="clear"/>
            <w:vAlign w:val="bottom"/>
          </w:tcPr>
          <w:p w:rsidR="00000000" w:rsidDel="00000000" w:rsidP="00000000" w:rsidRDefault="00000000" w:rsidRPr="00000000" w14:paraId="000000E4">
            <w:pPr>
              <w:spacing w:after="0" w:line="240" w:lineRule="auto"/>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Predicted Subscale</w:t>
            </w:r>
          </w:p>
        </w:tc>
        <w:tc>
          <w:tcPr>
            <w:tcBorders>
              <w:top w:color="8ea9db" w:space="0" w:sz="4" w:val="single"/>
              <w:left w:color="000000" w:space="0" w:sz="0" w:val="nil"/>
              <w:bottom w:color="8ea9db" w:space="0" w:sz="4" w:val="single"/>
              <w:right w:color="8ea9db" w:space="0" w:sz="4" w:val="single"/>
            </w:tcBorders>
            <w:shd w:fill="4472c4" w:val="clear"/>
            <w:vAlign w:val="bottom"/>
          </w:tcPr>
          <w:p w:rsidR="00000000" w:rsidDel="00000000" w:rsidP="00000000" w:rsidRDefault="00000000" w:rsidRPr="00000000" w14:paraId="000000E5">
            <w:pPr>
              <w:spacing w:after="0" w:line="240" w:lineRule="auto"/>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Explained </w:t>
            </w:r>
          </w:p>
          <w:p w:rsidR="00000000" w:rsidDel="00000000" w:rsidP="00000000" w:rsidRDefault="00000000" w:rsidRPr="00000000" w14:paraId="000000E6">
            <w:pPr>
              <w:spacing w:after="0" w:line="240" w:lineRule="auto"/>
              <w:rPr>
                <w:rFonts w:ascii="Calibri" w:cs="Calibri" w:eastAsia="Calibri" w:hAnsi="Calibri"/>
                <w:b w:val="1"/>
                <w:color w:val="ffffff"/>
                <w:sz w:val="16"/>
                <w:szCs w:val="16"/>
              </w:rPr>
            </w:pPr>
            <w:r w:rsidDel="00000000" w:rsidR="00000000" w:rsidRPr="00000000">
              <w:rPr>
                <w:rFonts w:ascii="Calibri" w:cs="Calibri" w:eastAsia="Calibri" w:hAnsi="Calibri"/>
                <w:b w:val="1"/>
                <w:color w:val="ffffff"/>
                <w:sz w:val="16"/>
                <w:szCs w:val="16"/>
                <w:rtl w:val="0"/>
              </w:rPr>
              <w:t xml:space="preserve">Variance (%)</w:t>
            </w:r>
          </w:p>
        </w:tc>
      </w:tr>
      <w:tr>
        <w:trPr>
          <w:trHeight w:val="300" w:hRule="atLeast"/>
        </w:trPr>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0E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THI-F_Functional</w:t>
            </w:r>
          </w:p>
        </w:tc>
        <w:tc>
          <w:tcPr>
            <w:tcBorders>
              <w:top w:color="8ea9db" w:space="0" w:sz="4" w:val="single"/>
              <w:left w:color="000000" w:space="0" w:sz="0" w:val="nil"/>
              <w:bottom w:color="8ea9db" w:space="0" w:sz="4" w:val="single"/>
              <w:right w:color="000000" w:space="0" w:sz="0" w:val="nil"/>
            </w:tcBorders>
            <w:shd w:fill="9dcf7f" w:val="clear"/>
            <w:vAlign w:val="bottom"/>
          </w:tcPr>
          <w:p w:rsidR="00000000" w:rsidDel="00000000" w:rsidP="00000000" w:rsidRDefault="00000000" w:rsidRPr="00000000" w14:paraId="000000E8">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69%</w:t>
            </w:r>
          </w:p>
        </w:tc>
        <w:tc>
          <w:tcPr>
            <w:tcBorders>
              <w:top w:color="8ea9db" w:space="0" w:sz="4" w:val="single"/>
              <w:left w:color="000000" w:space="0" w:sz="0" w:val="nil"/>
              <w:bottom w:color="8ea9db" w:space="0" w:sz="4" w:val="single"/>
              <w:right w:color="8ea9db" w:space="0" w:sz="4" w:val="single"/>
            </w:tcBorders>
            <w:shd w:fill="9dcf7f" w:val="clear"/>
            <w:vAlign w:val="bottom"/>
          </w:tcPr>
          <w:p w:rsidR="00000000" w:rsidDel="00000000" w:rsidP="00000000" w:rsidRDefault="00000000" w:rsidRPr="00000000" w14:paraId="000000E9">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A">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0EB">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TFI-SL_SLEEP</w:t>
            </w:r>
          </w:p>
        </w:tc>
        <w:tc>
          <w:tcPr>
            <w:tcBorders>
              <w:top w:color="8ea9db" w:space="0" w:sz="4" w:val="single"/>
              <w:left w:color="000000" w:space="0" w:sz="0" w:val="nil"/>
              <w:bottom w:color="8ea9db" w:space="0" w:sz="4" w:val="single"/>
              <w:right w:color="8ea9db" w:space="0" w:sz="4" w:val="single"/>
            </w:tcBorders>
            <w:shd w:fill="63be7b" w:val="clear"/>
            <w:vAlign w:val="bottom"/>
          </w:tcPr>
          <w:p w:rsidR="00000000" w:rsidDel="00000000" w:rsidP="00000000" w:rsidRDefault="00000000" w:rsidRPr="00000000" w14:paraId="000000EC">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D">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0E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TPFQ-S_Sleep</w:t>
            </w:r>
          </w:p>
        </w:tc>
        <w:tc>
          <w:tcPr>
            <w:tcBorders>
              <w:top w:color="8ea9db" w:space="0" w:sz="4" w:val="single"/>
              <w:left w:color="000000" w:space="0" w:sz="0" w:val="nil"/>
              <w:bottom w:color="8ea9db" w:space="0" w:sz="4" w:val="single"/>
              <w:right w:color="8ea9db" w:space="0" w:sz="4" w:val="single"/>
            </w:tcBorders>
            <w:shd w:fill="64bf7c" w:val="clear"/>
            <w:vAlign w:val="bottom"/>
          </w:tcPr>
          <w:p w:rsidR="00000000" w:rsidDel="00000000" w:rsidP="00000000" w:rsidRDefault="00000000" w:rsidRPr="00000000" w14:paraId="000000EF">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78%</w:t>
            </w:r>
          </w:p>
        </w:tc>
      </w:tr>
      <w:tr>
        <w:trPr>
          <w:trHeight w:val="300" w:hRule="atLeast"/>
        </w:trPr>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0F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THI-E_Emotional</w:t>
            </w:r>
          </w:p>
        </w:tc>
        <w:tc>
          <w:tcPr>
            <w:tcBorders>
              <w:top w:color="8ea9db" w:space="0" w:sz="4" w:val="single"/>
              <w:left w:color="000000" w:space="0" w:sz="0" w:val="nil"/>
              <w:bottom w:color="8ea9db" w:space="0" w:sz="4" w:val="single"/>
              <w:right w:color="000000" w:space="0" w:sz="0" w:val="nil"/>
            </w:tcBorders>
            <w:shd w:fill="faa075" w:val="clear"/>
            <w:vAlign w:val="bottom"/>
          </w:tcPr>
          <w:p w:rsidR="00000000" w:rsidDel="00000000" w:rsidP="00000000" w:rsidRDefault="00000000" w:rsidRPr="00000000" w14:paraId="000000F1">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51%</w:t>
            </w:r>
          </w:p>
        </w:tc>
        <w:tc>
          <w:tcPr>
            <w:tcBorders>
              <w:top w:color="8ea9db" w:space="0" w:sz="4" w:val="single"/>
              <w:left w:color="000000" w:space="0" w:sz="0" w:val="nil"/>
              <w:bottom w:color="8ea9db" w:space="0" w:sz="4" w:val="single"/>
              <w:right w:color="8ea9db" w:space="0" w:sz="4" w:val="single"/>
            </w:tcBorders>
            <w:shd w:fill="fdc87d" w:val="clear"/>
            <w:vAlign w:val="bottom"/>
          </w:tcPr>
          <w:p w:rsidR="00000000" w:rsidDel="00000000" w:rsidP="00000000" w:rsidRDefault="00000000" w:rsidRPr="00000000" w14:paraId="000000F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3">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0F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TFI-C_COGNITIVE</w:t>
            </w:r>
          </w:p>
        </w:tc>
        <w:tc>
          <w:tcPr>
            <w:tcBorders>
              <w:top w:color="8ea9db" w:space="0" w:sz="4" w:val="single"/>
              <w:left w:color="000000" w:space="0" w:sz="0" w:val="nil"/>
              <w:bottom w:color="8ea9db" w:space="0" w:sz="4" w:val="single"/>
              <w:right w:color="8ea9db" w:space="0" w:sz="4" w:val="single"/>
            </w:tcBorders>
            <w:shd w:fill="c4da81" w:val="clear"/>
            <w:vAlign w:val="bottom"/>
          </w:tcPr>
          <w:p w:rsidR="00000000" w:rsidDel="00000000" w:rsidP="00000000" w:rsidRDefault="00000000" w:rsidRPr="00000000" w14:paraId="000000F5">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6">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0F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TPFQ-C_Concentration</w:t>
            </w:r>
          </w:p>
        </w:tc>
        <w:tc>
          <w:tcPr>
            <w:tcBorders>
              <w:top w:color="8ea9db" w:space="0" w:sz="4" w:val="single"/>
              <w:left w:color="000000" w:space="0" w:sz="0" w:val="nil"/>
              <w:bottom w:color="8ea9db" w:space="0" w:sz="4" w:val="single"/>
              <w:right w:color="8ea9db" w:space="0" w:sz="4" w:val="single"/>
            </w:tcBorders>
            <w:shd w:fill="9dcf7f" w:val="clear"/>
            <w:vAlign w:val="bottom"/>
          </w:tcPr>
          <w:p w:rsidR="00000000" w:rsidDel="00000000" w:rsidP="00000000" w:rsidRDefault="00000000" w:rsidRPr="00000000" w14:paraId="000000F8">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74%</w:t>
            </w:r>
          </w:p>
        </w:tc>
      </w:tr>
      <w:tr>
        <w:trPr>
          <w:trHeight w:val="300" w:hRule="atLeast"/>
        </w:trPr>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0F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THI-C_Catastrophic</w:t>
            </w:r>
          </w:p>
        </w:tc>
        <w:tc>
          <w:tcPr>
            <w:tcBorders>
              <w:top w:color="8ea9db" w:space="0" w:sz="4" w:val="single"/>
              <w:left w:color="000000" w:space="0" w:sz="0" w:val="nil"/>
              <w:bottom w:color="8ea9db" w:space="0" w:sz="4" w:val="single"/>
              <w:right w:color="000000" w:space="0" w:sz="0" w:val="nil"/>
            </w:tcBorders>
            <w:shd w:fill="f8696b" w:val="clear"/>
            <w:vAlign w:val="bottom"/>
          </w:tcPr>
          <w:p w:rsidR="00000000" w:rsidDel="00000000" w:rsidP="00000000" w:rsidRDefault="00000000" w:rsidRPr="00000000" w14:paraId="000000FA">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w:t>
            </w:r>
          </w:p>
        </w:tc>
        <w:tc>
          <w:tcPr>
            <w:tcBorders>
              <w:top w:color="8ea9db" w:space="0" w:sz="4" w:val="single"/>
              <w:left w:color="000000" w:space="0" w:sz="0" w:val="nil"/>
              <w:bottom w:color="8ea9db" w:space="0" w:sz="4" w:val="single"/>
              <w:right w:color="8ea9db" w:space="0" w:sz="4" w:val="single"/>
            </w:tcBorders>
            <w:shd w:fill="f8696b" w:val="clear"/>
            <w:vAlign w:val="bottom"/>
          </w:tcPr>
          <w:p w:rsidR="00000000" w:rsidDel="00000000" w:rsidP="00000000" w:rsidRDefault="00000000" w:rsidRPr="00000000" w14:paraId="000000FB">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C">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0F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TFI-R_RELAXATION</w:t>
            </w:r>
          </w:p>
        </w:tc>
        <w:tc>
          <w:tcPr>
            <w:tcBorders>
              <w:top w:color="8ea9db" w:space="0" w:sz="4" w:val="single"/>
              <w:left w:color="000000" w:space="0" w:sz="0" w:val="nil"/>
              <w:bottom w:color="8ea9db" w:space="0" w:sz="4" w:val="single"/>
              <w:right w:color="8ea9db" w:space="0" w:sz="4" w:val="single"/>
            </w:tcBorders>
            <w:shd w:fill="fee983" w:val="clear"/>
            <w:vAlign w:val="bottom"/>
          </w:tcPr>
          <w:p w:rsidR="00000000" w:rsidDel="00000000" w:rsidP="00000000" w:rsidRDefault="00000000" w:rsidRPr="00000000" w14:paraId="000000FE">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F">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0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TPFQ-H_Hearing</w:t>
            </w:r>
          </w:p>
        </w:tc>
        <w:tc>
          <w:tcPr>
            <w:tcBorders>
              <w:top w:color="8ea9db" w:space="0" w:sz="4" w:val="single"/>
              <w:left w:color="000000" w:space="0" w:sz="0" w:val="nil"/>
              <w:bottom w:color="8ea9db" w:space="0" w:sz="4" w:val="single"/>
              <w:right w:color="8ea9db" w:space="0" w:sz="4" w:val="single"/>
            </w:tcBorders>
            <w:shd w:fill="e7e483" w:val="clear"/>
            <w:vAlign w:val="bottom"/>
          </w:tcPr>
          <w:p w:rsidR="00000000" w:rsidDel="00000000" w:rsidP="00000000" w:rsidRDefault="00000000" w:rsidRPr="00000000" w14:paraId="00000101">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68%</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4">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5">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0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TFI-Q_QUALITYOFLIFE</w:t>
            </w:r>
          </w:p>
        </w:tc>
        <w:tc>
          <w:tcPr>
            <w:tcBorders>
              <w:top w:color="8ea9db" w:space="0" w:sz="4" w:val="single"/>
              <w:left w:color="000000" w:space="0" w:sz="0" w:val="nil"/>
              <w:bottom w:color="8ea9db" w:space="0" w:sz="4" w:val="single"/>
              <w:right w:color="8ea9db" w:space="0" w:sz="4" w:val="single"/>
            </w:tcBorders>
            <w:shd w:fill="fdcc7e" w:val="clear"/>
            <w:vAlign w:val="bottom"/>
          </w:tcPr>
          <w:p w:rsidR="00000000" w:rsidDel="00000000" w:rsidP="00000000" w:rsidRDefault="00000000" w:rsidRPr="00000000" w14:paraId="00000107">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0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TPFQ-E_Emotion</w:t>
            </w:r>
          </w:p>
        </w:tc>
        <w:tc>
          <w:tcPr>
            <w:tcBorders>
              <w:top w:color="8ea9db" w:space="0" w:sz="4" w:val="single"/>
              <w:left w:color="000000" w:space="0" w:sz="0" w:val="nil"/>
              <w:bottom w:color="8ea9db" w:space="0" w:sz="4" w:val="single"/>
              <w:right w:color="8ea9db" w:space="0" w:sz="4" w:val="single"/>
            </w:tcBorders>
            <w:shd w:fill="fceb84" w:val="clear"/>
            <w:vAlign w:val="bottom"/>
          </w:tcPr>
          <w:p w:rsidR="00000000" w:rsidDel="00000000" w:rsidP="00000000" w:rsidRDefault="00000000" w:rsidRPr="00000000" w14:paraId="0000010A">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67%</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E">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0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TFI-A_AUDITORY</w:t>
            </w:r>
          </w:p>
        </w:tc>
        <w:tc>
          <w:tcPr>
            <w:tcBorders>
              <w:top w:color="8ea9db" w:space="0" w:sz="4" w:val="single"/>
              <w:left w:color="000000" w:space="0" w:sz="0" w:val="nil"/>
              <w:bottom w:color="8ea9db" w:space="0" w:sz="4" w:val="single"/>
              <w:right w:color="8ea9db" w:space="0" w:sz="4" w:val="single"/>
            </w:tcBorders>
            <w:shd w:fill="fdc87d" w:val="clear"/>
            <w:vAlign w:val="bottom"/>
          </w:tcPr>
          <w:p w:rsidR="00000000" w:rsidDel="00000000" w:rsidP="00000000" w:rsidRDefault="00000000" w:rsidRPr="00000000" w14:paraId="00000110">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1">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2">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16"/>
                <w:szCs w:val="16"/>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6">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7">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1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TFI-E_EMOTIONAL</w:t>
            </w:r>
          </w:p>
        </w:tc>
        <w:tc>
          <w:tcPr>
            <w:tcBorders>
              <w:top w:color="8ea9db" w:space="0" w:sz="4" w:val="single"/>
              <w:left w:color="000000" w:space="0" w:sz="0" w:val="nil"/>
              <w:bottom w:color="8ea9db" w:space="0" w:sz="4" w:val="single"/>
              <w:right w:color="8ea9db" w:space="0" w:sz="4" w:val="single"/>
            </w:tcBorders>
            <w:shd w:fill="faa075" w:val="clear"/>
            <w:vAlign w:val="bottom"/>
          </w:tcPr>
          <w:p w:rsidR="00000000" w:rsidDel="00000000" w:rsidP="00000000" w:rsidRDefault="00000000" w:rsidRPr="00000000" w14:paraId="00000119">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A">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B">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C">
            <w:pPr>
              <w:spacing w:after="0" w:line="240" w:lineRule="auto"/>
              <w:rPr>
                <w:rFonts w:ascii="Times New Roman" w:cs="Times New Roman" w:eastAsia="Times New Roman" w:hAnsi="Times New Roman"/>
                <w:sz w:val="16"/>
                <w:szCs w:val="16"/>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D">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E">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F">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0">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2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TFI-I_INTRUSIVE</w:t>
            </w:r>
          </w:p>
        </w:tc>
        <w:tc>
          <w:tcPr>
            <w:tcBorders>
              <w:top w:color="8ea9db" w:space="0" w:sz="4" w:val="single"/>
              <w:left w:color="000000" w:space="0" w:sz="0" w:val="nil"/>
              <w:bottom w:color="8ea9db" w:space="0" w:sz="4" w:val="single"/>
              <w:right w:color="8ea9db" w:space="0" w:sz="4" w:val="single"/>
            </w:tcBorders>
            <w:shd w:fill="f9826f" w:val="clear"/>
            <w:vAlign w:val="bottom"/>
          </w:tcPr>
          <w:p w:rsidR="00000000" w:rsidDel="00000000" w:rsidP="00000000" w:rsidRDefault="00000000" w:rsidRPr="00000000" w14:paraId="0000012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3">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4">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5">
            <w:pPr>
              <w:spacing w:after="0" w:line="240" w:lineRule="auto"/>
              <w:rPr>
                <w:rFonts w:ascii="Times New Roman" w:cs="Times New Roman" w:eastAsia="Times New Roman" w:hAnsi="Times New Roman"/>
                <w:sz w:val="16"/>
                <w:szCs w:val="16"/>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6">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7">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8">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9">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2A">
            <w:pPr>
              <w:spacing w:after="0" w:line="240" w:lineRule="auto"/>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TFI-SC_SENSEOFCONTROL</w:t>
            </w:r>
          </w:p>
        </w:tc>
        <w:tc>
          <w:tcPr>
            <w:tcBorders>
              <w:top w:color="8ea9db" w:space="0" w:sz="4" w:val="single"/>
              <w:left w:color="000000" w:space="0" w:sz="0" w:val="nil"/>
              <w:bottom w:color="8ea9db" w:space="0" w:sz="4" w:val="single"/>
              <w:right w:color="8ea9db" w:space="0" w:sz="4" w:val="single"/>
            </w:tcBorders>
            <w:shd w:fill="f8696b" w:val="clear"/>
            <w:vAlign w:val="bottom"/>
          </w:tcPr>
          <w:p w:rsidR="00000000" w:rsidDel="00000000" w:rsidP="00000000" w:rsidRDefault="00000000" w:rsidRPr="00000000" w14:paraId="0000012B">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C">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D">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E">
            <w:pPr>
              <w:spacing w:after="0"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2F">
      <w:pPr>
        <w:ind w:left="720" w:firstLine="0"/>
        <w:rPr/>
      </w:pPr>
      <w:r w:rsidDel="00000000" w:rsidR="00000000" w:rsidRPr="00000000">
        <w:rPr>
          <w:i w:val="1"/>
          <w:rtl w:val="0"/>
        </w:rPr>
        <w:t xml:space="preserve">Note</w:t>
      </w:r>
      <w:r w:rsidDel="00000000" w:rsidR="00000000" w:rsidRPr="00000000">
        <w:rPr>
          <w:rtl w:val="0"/>
        </w:rPr>
        <w:t xml:space="preserve">: How well do the subscales of one survey predict each individual subscale of another survey? Are there any subscales in survey B which are not well captured by survey A?</w:t>
      </w:r>
    </w:p>
    <w:p w:rsidR="00000000" w:rsidDel="00000000" w:rsidP="00000000" w:rsidRDefault="00000000" w:rsidRPr="00000000" w14:paraId="00000130">
      <w:pPr>
        <w:rPr/>
      </w:pPr>
      <w:r w:rsidDel="00000000" w:rsidR="00000000" w:rsidRPr="00000000">
        <w:rPr>
          <w:rtl w:val="0"/>
        </w:rPr>
        <w:t xml:space="preserve">Key takeaways</w:t>
      </w:r>
    </w:p>
    <w:p w:rsidR="00000000" w:rsidDel="00000000" w:rsidP="00000000" w:rsidRDefault="00000000" w:rsidRPr="00000000" w14:paraId="00000131">
      <w:pPr>
        <w:numPr>
          <w:ilvl w:val="0"/>
          <w:numId w:val="8"/>
        </w:numPr>
        <w:spacing w:after="0" w:afterAutospacing="0"/>
        <w:ind w:left="720" w:hanging="360"/>
        <w:rPr>
          <w:u w:val="none"/>
        </w:rPr>
      </w:pPr>
      <w:r w:rsidDel="00000000" w:rsidR="00000000" w:rsidRPr="00000000">
        <w:rPr>
          <w:rtl w:val="0"/>
        </w:rPr>
        <w:t xml:space="preserve">THI has a poor fit</w:t>
      </w:r>
    </w:p>
    <w:p w:rsidR="00000000" w:rsidDel="00000000" w:rsidP="00000000" w:rsidRDefault="00000000" w:rsidRPr="00000000" w14:paraId="00000132">
      <w:pPr>
        <w:numPr>
          <w:ilvl w:val="0"/>
          <w:numId w:val="8"/>
        </w:numPr>
        <w:spacing w:after="0" w:afterAutospacing="0"/>
        <w:ind w:left="720" w:hanging="360"/>
        <w:rPr>
          <w:u w:val="none"/>
        </w:rPr>
      </w:pPr>
      <w:r w:rsidDel="00000000" w:rsidR="00000000" w:rsidRPr="00000000">
        <w:rPr>
          <w:rtl w:val="0"/>
        </w:rPr>
        <w:t xml:space="preserve">TPFQ and TFI produce similar quality fits when fitted to THI</w:t>
      </w:r>
    </w:p>
    <w:p w:rsidR="00000000" w:rsidDel="00000000" w:rsidP="00000000" w:rsidRDefault="00000000" w:rsidRPr="00000000" w14:paraId="00000133">
      <w:pPr>
        <w:numPr>
          <w:ilvl w:val="0"/>
          <w:numId w:val="8"/>
        </w:numPr>
        <w:spacing w:after="0" w:afterAutospacing="0"/>
        <w:ind w:left="720" w:hanging="360"/>
        <w:rPr>
          <w:u w:val="none"/>
        </w:rPr>
      </w:pPr>
      <w:r w:rsidDel="00000000" w:rsidR="00000000" w:rsidRPr="00000000">
        <w:rPr>
          <w:rtl w:val="0"/>
        </w:rPr>
        <w:t xml:space="preserve">Neither TFI/TPFQ explain THI_Catastrophic well. </w:t>
      </w:r>
    </w:p>
    <w:p w:rsidR="00000000" w:rsidDel="00000000" w:rsidP="00000000" w:rsidRDefault="00000000" w:rsidRPr="00000000" w14:paraId="00000134">
      <w:pPr>
        <w:numPr>
          <w:ilvl w:val="0"/>
          <w:numId w:val="8"/>
        </w:numPr>
        <w:ind w:left="720" w:hanging="360"/>
        <w:rPr>
          <w:u w:val="none"/>
        </w:rPr>
      </w:pPr>
      <w:r w:rsidDel="00000000" w:rsidR="00000000" w:rsidRPr="00000000">
        <w:rPr>
          <w:rtl w:val="0"/>
        </w:rPr>
        <w:t xml:space="preserve">Since TFI has more subscales, there are some subscales of TFI not explained well by TPFQ. </w:t>
      </w: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rPr/>
      </w:pPr>
      <w:bookmarkStart w:colFirst="0" w:colLast="0" w:name="_heading=h.y5m1y76lgvg" w:id="6"/>
      <w:bookmarkEnd w:id="6"/>
      <w:r w:rsidDel="00000000" w:rsidR="00000000" w:rsidRPr="00000000">
        <w:rPr>
          <w:rtl w:val="0"/>
        </w:rPr>
        <w:t xml:space="preserve">Removing Questions</w:t>
      </w:r>
    </w:p>
    <w:p w:rsidR="00000000" w:rsidDel="00000000" w:rsidP="00000000" w:rsidRDefault="00000000" w:rsidRPr="00000000" w14:paraId="00000136">
      <w:pPr>
        <w:rPr/>
      </w:pPr>
      <w:r w:rsidDel="00000000" w:rsidR="00000000" w:rsidRPr="00000000">
        <w:rPr>
          <w:rtl w:val="0"/>
        </w:rPr>
        <w:t xml:space="preserve">Based on our EFA analysis we identified certain questions with poor fit to their subscales:</w:t>
      </w:r>
    </w:p>
    <w:p w:rsidR="00000000" w:rsidDel="00000000" w:rsidP="00000000" w:rsidRDefault="00000000" w:rsidRPr="00000000" w14:paraId="00000137">
      <w:pPr>
        <w:numPr>
          <w:ilvl w:val="0"/>
          <w:numId w:val="4"/>
        </w:numPr>
        <w:spacing w:after="0" w:afterAutospacing="0"/>
        <w:ind w:left="720" w:hanging="360"/>
        <w:rPr>
          <w:u w:val="none"/>
        </w:rPr>
      </w:pPr>
      <w:r w:rsidDel="00000000" w:rsidR="00000000" w:rsidRPr="00000000">
        <w:rPr>
          <w:rtl w:val="0"/>
        </w:rPr>
        <w:t xml:space="preserve">TPFQ: Q3, Q5, Q8</w:t>
      </w:r>
    </w:p>
    <w:p w:rsidR="00000000" w:rsidDel="00000000" w:rsidP="00000000" w:rsidRDefault="00000000" w:rsidRPr="00000000" w14:paraId="00000138">
      <w:pPr>
        <w:numPr>
          <w:ilvl w:val="0"/>
          <w:numId w:val="4"/>
        </w:numPr>
        <w:ind w:left="720" w:hanging="360"/>
        <w:rPr>
          <w:u w:val="none"/>
        </w:rPr>
      </w:pPr>
      <w:r w:rsidDel="00000000" w:rsidR="00000000" w:rsidRPr="00000000">
        <w:rPr>
          <w:rtl w:val="0"/>
        </w:rPr>
        <w:t xml:space="preserve">TFI: Q4, Q22</w:t>
      </w:r>
    </w:p>
    <w:p w:rsidR="00000000" w:rsidDel="00000000" w:rsidP="00000000" w:rsidRDefault="00000000" w:rsidRPr="00000000" w14:paraId="00000139">
      <w:pPr>
        <w:ind w:left="0" w:firstLine="0"/>
        <w:rPr/>
      </w:pPr>
      <w:r w:rsidDel="00000000" w:rsidR="00000000" w:rsidRPr="00000000">
        <w:rPr>
          <w:rtl w:val="0"/>
        </w:rPr>
        <w:t xml:space="preserve">Below we examine the goodness of fit after removing those questions. </w:t>
      </w:r>
    </w:p>
    <w:p w:rsidR="00000000" w:rsidDel="00000000" w:rsidP="00000000" w:rsidRDefault="00000000" w:rsidRPr="00000000" w14:paraId="0000013A">
      <w:pPr>
        <w:ind w:left="0" w:firstLine="0"/>
        <w:rPr/>
      </w:pPr>
      <w:r w:rsidDel="00000000" w:rsidR="00000000" w:rsidRPr="00000000">
        <w:rPr>
          <w:rtl w:val="0"/>
        </w:rPr>
        <w:t xml:space="preserve">There is some data snooping here. We use the same sample both to identify the questions to remove and to measure the goodness of fit.</w:t>
      </w:r>
    </w:p>
    <w:p w:rsidR="00000000" w:rsidDel="00000000" w:rsidP="00000000" w:rsidRDefault="00000000" w:rsidRPr="00000000" w14:paraId="0000013B">
      <w:pPr>
        <w:ind w:left="0" w:firstLine="0"/>
        <w:rPr/>
      </w:pPr>
      <w:r w:rsidDel="00000000" w:rsidR="00000000" w:rsidRPr="00000000">
        <w:rPr/>
        <w:drawing>
          <wp:inline distB="114300" distT="114300" distL="114300" distR="114300">
            <wp:extent cx="2917692" cy="1750615"/>
            <wp:effectExtent b="0" l="0" r="0" t="0"/>
            <wp:docPr id="3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917692" cy="1750615"/>
                    </a:xfrm>
                    <a:prstGeom prst="rect"/>
                    <a:ln/>
                  </pic:spPr>
                </pic:pic>
              </a:graphicData>
            </a:graphic>
          </wp:inline>
        </w:drawing>
      </w:r>
      <w:r w:rsidDel="00000000" w:rsidR="00000000" w:rsidRPr="00000000">
        <w:rPr/>
        <w:drawing>
          <wp:inline distB="114300" distT="114300" distL="114300" distR="114300">
            <wp:extent cx="2955056" cy="1779190"/>
            <wp:effectExtent b="0" l="0" r="0" t="0"/>
            <wp:docPr id="4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955056" cy="177919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drawing>
          <wp:inline distB="114300" distT="114300" distL="114300" distR="114300">
            <wp:extent cx="2909901" cy="1924440"/>
            <wp:effectExtent b="0" l="0" r="0" t="0"/>
            <wp:docPr id="30" name="image5.png"/>
            <a:graphic>
              <a:graphicData uri="http://schemas.openxmlformats.org/drawingml/2006/picture">
                <pic:pic>
                  <pic:nvPicPr>
                    <pic:cNvPr id="0" name="image5.png"/>
                    <pic:cNvPicPr preferRelativeResize="0"/>
                  </pic:nvPicPr>
                  <pic:blipFill>
                    <a:blip r:embed="rId18"/>
                    <a:srcRect b="87" l="0" r="0" t="87"/>
                    <a:stretch>
                      <a:fillRect/>
                    </a:stretch>
                  </pic:blipFill>
                  <pic:spPr>
                    <a:xfrm>
                      <a:off x="0" y="0"/>
                      <a:ext cx="2909901" cy="1924440"/>
                    </a:xfrm>
                    <a:prstGeom prst="rect"/>
                    <a:ln/>
                  </pic:spPr>
                </pic:pic>
              </a:graphicData>
            </a:graphic>
          </wp:inline>
        </w:drawing>
      </w:r>
      <w:r w:rsidDel="00000000" w:rsidR="00000000" w:rsidRPr="00000000">
        <w:rPr/>
        <w:drawing>
          <wp:inline distB="114300" distT="114300" distL="114300" distR="114300">
            <wp:extent cx="2901350" cy="1742664"/>
            <wp:effectExtent b="0" l="0" r="0" t="0"/>
            <wp:docPr id="3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901350" cy="174266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i w:val="1"/>
          <w:rtl w:val="0"/>
        </w:rPr>
        <w:t xml:space="preserve">Left</w:t>
      </w:r>
      <w:r w:rsidDel="00000000" w:rsidR="00000000" w:rsidRPr="00000000">
        <w:rPr>
          <w:rtl w:val="0"/>
        </w:rPr>
        <w:t xml:space="preserve">: We examine how well individual subscales explain the questions on that subscale. For example how well does the emotional subscale explain variation in the emotion questions?</w:t>
      </w:r>
    </w:p>
    <w:p w:rsidR="00000000" w:rsidDel="00000000" w:rsidP="00000000" w:rsidRDefault="00000000" w:rsidRPr="00000000" w14:paraId="0000013E">
      <w:pPr>
        <w:ind w:left="720" w:firstLine="0"/>
        <w:rPr/>
      </w:pPr>
      <w:r w:rsidDel="00000000" w:rsidR="00000000" w:rsidRPr="00000000">
        <w:rPr>
          <w:i w:val="1"/>
          <w:rtl w:val="0"/>
        </w:rPr>
        <w:t xml:space="preserve">Right</w:t>
      </w:r>
      <w:r w:rsidDel="00000000" w:rsidR="00000000" w:rsidRPr="00000000">
        <w:rPr>
          <w:rtl w:val="0"/>
        </w:rPr>
        <w:t xml:space="preserve">: We examine how well different subscales explain the overall variation in survey responses.</w:t>
      </w:r>
    </w:p>
    <w:p w:rsidR="00000000" w:rsidDel="00000000" w:rsidP="00000000" w:rsidRDefault="00000000" w:rsidRPr="00000000" w14:paraId="0000013F">
      <w:pPr>
        <w:ind w:left="0" w:firstLine="0"/>
        <w:rPr/>
      </w:pPr>
      <w:r w:rsidDel="00000000" w:rsidR="00000000" w:rsidRPr="00000000">
        <w:rPr>
          <w:rtl w:val="0"/>
        </w:rPr>
        <w:t xml:space="preserve">Key takeaways:</w:t>
      </w:r>
    </w:p>
    <w:p w:rsidR="00000000" w:rsidDel="00000000" w:rsidP="00000000" w:rsidRDefault="00000000" w:rsidRPr="00000000" w14:paraId="00000140">
      <w:pPr>
        <w:numPr>
          <w:ilvl w:val="0"/>
          <w:numId w:val="2"/>
        </w:numPr>
        <w:spacing w:after="0" w:afterAutospacing="0"/>
        <w:ind w:left="720" w:hanging="360"/>
        <w:rPr>
          <w:u w:val="none"/>
        </w:rPr>
      </w:pPr>
      <w:r w:rsidDel="00000000" w:rsidR="00000000" w:rsidRPr="00000000">
        <w:rPr>
          <w:rtl w:val="0"/>
        </w:rPr>
        <w:t xml:space="preserve">Removing questions improves goodness of fit particularly for the worst explained subscales. </w:t>
      </w:r>
    </w:p>
    <w:p w:rsidR="00000000" w:rsidDel="00000000" w:rsidP="00000000" w:rsidRDefault="00000000" w:rsidRPr="00000000" w14:paraId="00000141">
      <w:pPr>
        <w:numPr>
          <w:ilvl w:val="1"/>
          <w:numId w:val="2"/>
        </w:numPr>
        <w:spacing w:after="0" w:afterAutospacing="0"/>
        <w:ind w:left="1440" w:hanging="360"/>
        <w:rPr>
          <w:u w:val="none"/>
        </w:rPr>
      </w:pPr>
      <w:r w:rsidDel="00000000" w:rsidR="00000000" w:rsidRPr="00000000">
        <w:rPr>
          <w:rtl w:val="0"/>
        </w:rPr>
        <w:t xml:space="preserve">Removing TPFQ Q3/Q8 seems to improve the Emotional subscale</w:t>
      </w:r>
    </w:p>
    <w:p w:rsidR="00000000" w:rsidDel="00000000" w:rsidP="00000000" w:rsidRDefault="00000000" w:rsidRPr="00000000" w14:paraId="00000142">
      <w:pPr>
        <w:numPr>
          <w:ilvl w:val="1"/>
          <w:numId w:val="2"/>
        </w:numPr>
        <w:spacing w:after="0" w:afterAutospacing="0"/>
        <w:ind w:left="1440" w:hanging="360"/>
        <w:rPr>
          <w:u w:val="none"/>
        </w:rPr>
      </w:pPr>
      <w:r w:rsidDel="00000000" w:rsidR="00000000" w:rsidRPr="00000000">
        <w:rPr>
          <w:rtl w:val="0"/>
        </w:rPr>
        <w:t xml:space="preserve">Removing TFI Q4 seems to improve the Sense of Control Subscale</w:t>
      </w:r>
    </w:p>
    <w:p w:rsidR="00000000" w:rsidDel="00000000" w:rsidP="00000000" w:rsidRDefault="00000000" w:rsidRPr="00000000" w14:paraId="00000143">
      <w:pPr>
        <w:numPr>
          <w:ilvl w:val="0"/>
          <w:numId w:val="2"/>
        </w:numPr>
        <w:ind w:left="720" w:hanging="360"/>
        <w:rPr>
          <w:u w:val="none"/>
        </w:rPr>
      </w:pPr>
      <w:r w:rsidDel="00000000" w:rsidR="00000000" w:rsidRPr="00000000">
        <w:rPr>
          <w:rtl w:val="0"/>
        </w:rPr>
        <w:t xml:space="preserve">The overall goodness of fit improves most for TPFQ</w:t>
      </w:r>
      <w:r w:rsidDel="00000000" w:rsidR="00000000" w:rsidRPr="00000000">
        <w:rPr>
          <w:rtl w:val="0"/>
        </w:rPr>
      </w:r>
    </w:p>
    <w:p w:rsidR="00000000" w:rsidDel="00000000" w:rsidP="00000000" w:rsidRDefault="00000000" w:rsidRPr="00000000" w14:paraId="00000144">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Title"/>
        <w:rPr/>
      </w:pPr>
      <w:r w:rsidDel="00000000" w:rsidR="00000000" w:rsidRPr="00000000">
        <w:rPr>
          <w:rtl w:val="0"/>
        </w:rPr>
        <w:t xml:space="preserve">Milestone 1 – Conclusions</w:t>
      </w:r>
    </w:p>
    <w:p w:rsidR="00000000" w:rsidDel="00000000" w:rsidP="00000000" w:rsidRDefault="00000000" w:rsidRPr="00000000" w14:paraId="00000146">
      <w:pPr>
        <w:rPr/>
      </w:pPr>
      <w:r w:rsidDel="00000000" w:rsidR="00000000" w:rsidRPr="00000000">
        <w:rPr>
          <w:rtl w:val="0"/>
        </w:rPr>
        <w:t xml:space="preserve">In this section we attempted to identify which tinnitus questionnaire gives the most ‘valid’ measure of tinnitus. In the EFA section, we identified whether we were able to reproduce the existing subscales with our data. In the internal validity section, we measured how completely the subscales explained responses to individual questions on that survey. In the comprehensiveness section, we measured how well one survey predicted another survey; the idea that if one survey predicted another well there is no need to ask the second survey. </w:t>
      </w:r>
    </w:p>
    <w:p w:rsidR="00000000" w:rsidDel="00000000" w:rsidP="00000000" w:rsidRDefault="00000000" w:rsidRPr="00000000" w14:paraId="00000147">
      <w:pPr>
        <w:rPr/>
      </w:pPr>
      <w:r w:rsidDel="00000000" w:rsidR="00000000" w:rsidRPr="00000000">
        <w:rPr>
          <w:rtl w:val="0"/>
        </w:rPr>
        <w:t xml:space="preserve">The results were:</w:t>
      </w:r>
    </w:p>
    <w:tbl>
      <w:tblPr>
        <w:tblStyle w:val="Table8"/>
        <w:tblW w:w="74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195"/>
        <w:gridCol w:w="1820"/>
        <w:gridCol w:w="2225"/>
        <w:tblGridChange w:id="0">
          <w:tblGrid>
            <w:gridCol w:w="1160"/>
            <w:gridCol w:w="2195"/>
            <w:gridCol w:w="1820"/>
            <w:gridCol w:w="2225"/>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EFA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Internal Validity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Comprehensiveness</w:t>
            </w:r>
          </w:p>
        </w:tc>
      </w:tr>
      <w:tr>
        <w:trPr>
          <w:trHeight w:val="5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Reproduced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Poor 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Poor Fit</w:t>
            </w:r>
          </w:p>
        </w:tc>
      </w:tr>
      <w:tr>
        <w:trPr>
          <w:trHeight w:val="5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TPFQ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Reproduced, mostly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Good 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Good Fit</w:t>
            </w:r>
          </w:p>
        </w:tc>
      </w:tr>
      <w:tr>
        <w:trPr>
          <w:trHeight w:val="5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TFI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Reproduced, mostly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Good 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Good Fit</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All three approaches agreed that the surveys from worst to best are THI &lt; TPFQ &lt; TFI. However the difference between TPFQ and TFI was consistently small, attributable at least in part to the fact that TFI has more subscales (overfitting). Removing certain questions from each survey seems to improve goodness of fit; especially for TPFQ.</w:t>
      </w:r>
    </w:p>
    <w:p w:rsidR="00000000" w:rsidDel="00000000" w:rsidP="00000000" w:rsidRDefault="00000000" w:rsidRPr="00000000" w14:paraId="0000015A">
      <w:pPr>
        <w:rPr/>
      </w:pPr>
      <w:r w:rsidDel="00000000" w:rsidR="00000000" w:rsidRPr="00000000">
        <w:rPr>
          <w:rtl w:val="0"/>
        </w:rPr>
        <w:t xml:space="preserve">The numbers give a slight advantage to TFI, but not enough to be conclusive. The choice comes down to this. Do you want a slightly more complicated measure (TFI) with more subscales or a slightly simpler/parsimonious measure (TPFQ) with fewer subscales? Both perform similarly.</w:t>
      </w:r>
    </w:p>
    <w:p w:rsidR="00000000" w:rsidDel="00000000" w:rsidP="00000000" w:rsidRDefault="00000000" w:rsidRPr="00000000" w14:paraId="0000015B">
      <w:pPr>
        <w:rPr>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15C">
      <w:pPr>
        <w:rPr>
          <w:sz w:val="32"/>
          <w:szCs w:val="32"/>
        </w:rPr>
      </w:pPr>
      <w:r w:rsidDel="00000000" w:rsidR="00000000" w:rsidRPr="00000000">
        <w:rPr>
          <w:sz w:val="56"/>
          <w:szCs w:val="56"/>
          <w:rtl w:val="0"/>
        </w:rPr>
        <w:t xml:space="preserve">Milestone 2 - Emotion</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goal for milestone 2 is to figure out whether it is possible to model the emotional disturbance from tinnitus based on the scores from BDI, BAI and the emotional subscales from the tinnitus questionnaires.</w:t>
      </w:r>
    </w:p>
    <w:p w:rsidR="00000000" w:rsidDel="00000000" w:rsidP="00000000" w:rsidRDefault="00000000" w:rsidRPr="00000000" w14:paraId="0000015E">
      <w:pPr>
        <w:rPr>
          <w:color w:val="2f5496"/>
          <w:sz w:val="32"/>
          <w:szCs w:val="32"/>
        </w:rPr>
      </w:pPr>
      <w:r w:rsidDel="00000000" w:rsidR="00000000" w:rsidRPr="00000000">
        <w:rPr>
          <w:color w:val="2f5496"/>
          <w:sz w:val="32"/>
          <w:szCs w:val="32"/>
          <w:rtl w:val="0"/>
        </w:rPr>
        <w:t xml:space="preserve">Part 1 Regression</w:t>
      </w:r>
    </w:p>
    <w:p w:rsidR="00000000" w:rsidDel="00000000" w:rsidP="00000000" w:rsidRDefault="00000000" w:rsidRPr="00000000" w14:paraId="0000015F">
      <w:pPr>
        <w:rPr/>
      </w:pPr>
      <w:r w:rsidDel="00000000" w:rsidR="00000000" w:rsidRPr="00000000">
        <w:rPr>
          <w:rtl w:val="0"/>
        </w:rPr>
        <w:t xml:space="preserve">While BAI and BDI certainly do not give us a comprehensive view of the true emotional state, they are likely to be the best response variables in our dataset. The predictors are emotional subscales from TFI, THI, and TPFQ. These subscales are calculated in percentages, therefore this is a regression problem. The results of b</w:t>
      </w:r>
      <w:r w:rsidDel="00000000" w:rsidR="00000000" w:rsidRPr="00000000">
        <w:rPr>
          <w:rtl w:val="0"/>
        </w:rPr>
        <w:t xml:space="preserve">uilding the model with the whole dataset is as follows (measured in mean absolute error):</w:t>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BDI</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 Transform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1.58</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Train-test split results:</w:t>
      </w:r>
    </w:p>
    <w:tbl>
      <w:tblPr>
        <w:tblStyle w:val="Table1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center"/>
              <w:rPr/>
            </w:pPr>
            <w:r w:rsidDel="00000000" w:rsidR="00000000" w:rsidRPr="00000000">
              <w:rPr>
                <w:rtl w:val="0"/>
              </w:rPr>
              <w:t xml:space="preserve">Random Forests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center"/>
              <w:rPr/>
            </w:pPr>
            <w:r w:rsidDel="00000000" w:rsidR="00000000" w:rsidRPr="00000000">
              <w:rPr>
                <w:rtl w:val="0"/>
              </w:rPr>
              <w:t xml:space="preserve">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center"/>
              <w:rPr/>
            </w:pPr>
            <w:r w:rsidDel="00000000" w:rsidR="00000000" w:rsidRPr="00000000">
              <w:rPr>
                <w:rtl w:val="0"/>
              </w:rPr>
              <w:t xml:space="preserve">BDI</w:t>
            </w:r>
          </w:p>
        </w:tc>
      </w:tr>
      <w:tr>
        <w:trPr>
          <w:trHeight w:val="478.867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center"/>
              <w:rPr/>
            </w:pPr>
            <w:r w:rsidDel="00000000" w:rsidR="00000000" w:rsidRPr="00000000">
              <w:rPr>
                <w:rtl w:val="0"/>
              </w:rPr>
              <w:t xml:space="preserve">Training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center"/>
              <w:rPr/>
            </w:pPr>
            <w:r w:rsidDel="00000000" w:rsidR="00000000" w:rsidRPr="00000000">
              <w:rPr>
                <w:rtl w:val="0"/>
              </w:rPr>
              <w:t xml:space="preserve">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center"/>
              <w:rPr/>
            </w:pPr>
            <w:r w:rsidDel="00000000" w:rsidR="00000000" w:rsidRPr="00000000">
              <w:rPr>
                <w:rtl w:val="0"/>
              </w:rPr>
              <w:t xml:space="preserve">1.64</w:t>
            </w:r>
          </w:p>
        </w:tc>
      </w:tr>
      <w:tr>
        <w:trPr>
          <w:trHeight w:val="253.86718749999997"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center"/>
              <w:rPr>
                <w:b w:val="1"/>
              </w:rPr>
            </w:pPr>
            <w:r w:rsidDel="00000000" w:rsidR="00000000" w:rsidRPr="00000000">
              <w:rPr>
                <w:b w:val="1"/>
                <w:rtl w:val="0"/>
              </w:rPr>
              <w:t xml:space="preserve">Testing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center"/>
              <w:rPr>
                <w:b w:val="1"/>
              </w:rPr>
            </w:pPr>
            <w:r w:rsidDel="00000000" w:rsidR="00000000" w:rsidRPr="00000000">
              <w:rPr>
                <w:b w:val="1"/>
                <w:rtl w:val="0"/>
              </w:rPr>
              <w:t xml:space="preserve">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center"/>
              <w:rPr>
                <w:b w:val="1"/>
              </w:rPr>
            </w:pPr>
            <w:r w:rsidDel="00000000" w:rsidR="00000000" w:rsidRPr="00000000">
              <w:rPr>
                <w:b w:val="1"/>
                <w:rtl w:val="0"/>
              </w:rPr>
              <w:t xml:space="preserve">5.20</w:t>
            </w:r>
          </w:p>
        </w:tc>
      </w:tr>
    </w:tbl>
    <w:p w:rsidR="00000000" w:rsidDel="00000000" w:rsidP="00000000" w:rsidRDefault="00000000" w:rsidRPr="00000000" w14:paraId="0000017D">
      <w:pPr>
        <w:rPr>
          <w:b w:val="1"/>
        </w:rPr>
      </w:pPr>
      <w:r w:rsidDel="00000000" w:rsidR="00000000" w:rsidRPr="00000000">
        <w:rPr>
          <w:rtl w:val="0"/>
        </w:rPr>
      </w:r>
    </w:p>
    <w:tbl>
      <w:tblPr>
        <w:tblStyle w:val="Table1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center"/>
              <w:rPr/>
            </w:pPr>
            <w:r w:rsidDel="00000000" w:rsidR="00000000" w:rsidRPr="00000000">
              <w:rPr>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center"/>
              <w:rPr/>
            </w:pPr>
            <w:r w:rsidDel="00000000" w:rsidR="00000000" w:rsidRPr="00000000">
              <w:rPr>
                <w:rtl w:val="0"/>
              </w:rPr>
              <w:t xml:space="preserve">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center"/>
              <w:rPr/>
            </w:pPr>
            <w:r w:rsidDel="00000000" w:rsidR="00000000" w:rsidRPr="00000000">
              <w:rPr>
                <w:rtl w:val="0"/>
              </w:rPr>
              <w:t xml:space="preserve">BDI</w:t>
            </w:r>
          </w:p>
        </w:tc>
      </w:tr>
      <w:tr>
        <w:trPr>
          <w:trHeight w:val="478.867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center"/>
              <w:rPr/>
            </w:pPr>
            <w:r w:rsidDel="00000000" w:rsidR="00000000" w:rsidRPr="00000000">
              <w:rPr>
                <w:rtl w:val="0"/>
              </w:rPr>
              <w:t xml:space="preserve">Training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center"/>
              <w:rPr/>
            </w:pPr>
            <w:r w:rsidDel="00000000" w:rsidR="00000000" w:rsidRPr="00000000">
              <w:rPr>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center"/>
              <w:rPr/>
            </w:pPr>
            <w:r w:rsidDel="00000000" w:rsidR="00000000" w:rsidRPr="00000000">
              <w:rPr>
                <w:rtl w:val="0"/>
              </w:rPr>
              <w:t xml:space="preserve">1.69</w:t>
            </w:r>
          </w:p>
        </w:tc>
      </w:tr>
      <w:tr>
        <w:trPr>
          <w:trHeight w:val="253.86718749999997"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center"/>
              <w:rPr>
                <w:b w:val="1"/>
              </w:rPr>
            </w:pPr>
            <w:r w:rsidDel="00000000" w:rsidR="00000000" w:rsidRPr="00000000">
              <w:rPr>
                <w:b w:val="1"/>
                <w:rtl w:val="0"/>
              </w:rPr>
              <w:t xml:space="preserve">Testing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center"/>
              <w:rPr>
                <w:b w:val="1"/>
              </w:rPr>
            </w:pPr>
            <w:r w:rsidDel="00000000" w:rsidR="00000000" w:rsidRPr="00000000">
              <w:rPr>
                <w:b w:val="1"/>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center"/>
              <w:rPr>
                <w:b w:val="1"/>
              </w:rPr>
            </w:pPr>
            <w:r w:rsidDel="00000000" w:rsidR="00000000" w:rsidRPr="00000000">
              <w:rPr>
                <w:b w:val="1"/>
                <w:rtl w:val="0"/>
              </w:rPr>
              <w:t xml:space="preserve">4.13</w:t>
            </w:r>
          </w:p>
        </w:tc>
      </w:tr>
    </w:tbl>
    <w:p w:rsidR="00000000" w:rsidDel="00000000" w:rsidP="00000000" w:rsidRDefault="00000000" w:rsidRPr="00000000" w14:paraId="00000187">
      <w:pPr>
        <w:rPr>
          <w:b w:val="1"/>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It is possible to model the emotional disturbance from tinnitus based on BDI, BAI and emotion subscales using techniques like Random Forests and Gradient Boosting, but the fit is poor. These models can be highly overfitting and are not useful to predict new observations. In addition, neither BAI score nor BDI score is good enough to be a response variable for this regression task, possibly due to the subjective nature of the self-report questionnaire.</w:t>
      </w:r>
    </w:p>
    <w:p w:rsidR="00000000" w:rsidDel="00000000" w:rsidP="00000000" w:rsidRDefault="00000000" w:rsidRPr="00000000" w14:paraId="00000189">
      <w:pPr>
        <w:rPr>
          <w:color w:val="2f5496"/>
          <w:sz w:val="32"/>
          <w:szCs w:val="32"/>
        </w:rPr>
      </w:pPr>
      <w:r w:rsidDel="00000000" w:rsidR="00000000" w:rsidRPr="00000000">
        <w:rPr>
          <w:color w:val="2f5496"/>
          <w:sz w:val="32"/>
          <w:szCs w:val="32"/>
          <w:rtl w:val="0"/>
        </w:rPr>
        <w:t xml:space="preserve">Part 2 Classification</w:t>
      </w:r>
    </w:p>
    <w:p w:rsidR="00000000" w:rsidDel="00000000" w:rsidP="00000000" w:rsidRDefault="00000000" w:rsidRPr="00000000" w14:paraId="0000018A">
      <w:pPr>
        <w:rPr/>
      </w:pPr>
      <w:r w:rsidDel="00000000" w:rsidR="00000000" w:rsidRPr="00000000">
        <w:rPr>
          <w:rtl w:val="0"/>
        </w:rPr>
        <w:t xml:space="preserve">The regression on BAI and BDI did not give us a very good result. In this section we are going to try out the classification methods on BAI and BDI. To build up our classification methods, we started off from a very simple logistic regression model based on emotional subscales. Then we refined its responses and predictors to improve the classification accuracy. Finally, we applied up-sampling methods on BAI and BDI and corrected the skewness in the BAI and BDI dataset.</w:t>
      </w:r>
    </w:p>
    <w:p w:rsidR="00000000" w:rsidDel="00000000" w:rsidP="00000000" w:rsidRDefault="00000000" w:rsidRPr="00000000" w14:paraId="0000018B">
      <w:pPr>
        <w:rPr/>
      </w:pPr>
      <w:r w:rsidDel="00000000" w:rsidR="00000000" w:rsidRPr="00000000">
        <w:rPr>
          <w:rtl w:val="0"/>
        </w:rPr>
        <w:t xml:space="preserve">The best classification result is from this model: </w:t>
      </w:r>
    </w:p>
    <w:p w:rsidR="00000000" w:rsidDel="00000000" w:rsidP="00000000" w:rsidRDefault="00000000" w:rsidRPr="00000000" w14:paraId="0000018C">
      <w:pPr>
        <w:jc w:val="center"/>
        <w:rPr>
          <w:i w:val="1"/>
        </w:rPr>
      </w:pPr>
      <w:r w:rsidDel="00000000" w:rsidR="00000000" w:rsidRPr="00000000">
        <w:rPr>
          <w:i w:val="1"/>
          <w:rtl w:val="0"/>
        </w:rPr>
        <w:t xml:space="preserve">BAI &amp;  BDI ~ 4 emotional subscales + other subscales in TFI</w:t>
      </w:r>
    </w:p>
    <w:p w:rsidR="00000000" w:rsidDel="00000000" w:rsidP="00000000" w:rsidRDefault="00000000" w:rsidRPr="00000000" w14:paraId="0000018D">
      <w:pPr>
        <w:rPr/>
      </w:pPr>
      <w:r w:rsidDel="00000000" w:rsidR="00000000" w:rsidRPr="00000000">
        <w:rPr>
          <w:rtl w:val="0"/>
        </w:rPr>
        <w:t xml:space="preserve">The “BAI &amp; BDI'' identifies whether someone is emotionally disturbed by either BAI or BDI (or both) based on clinical cutoffs. We then applied up-sampling methods on this combined response to correct for  the right skewness. Besides the 4 emotional subscales as we included in the regression part, we added any other subscales in TFI to make a higher classification accuracy.</w:t>
      </w:r>
    </w:p>
    <w:p w:rsidR="00000000" w:rsidDel="00000000" w:rsidP="00000000" w:rsidRDefault="00000000" w:rsidRPr="00000000" w14:paraId="0000018E">
      <w:pPr>
        <w:rPr/>
      </w:pPr>
      <w:r w:rsidDel="00000000" w:rsidR="00000000" w:rsidRPr="00000000">
        <w:rPr>
          <w:rtl w:val="0"/>
        </w:rPr>
        <w:t xml:space="preserve">The best classification accuracy after up-sampling is shown below:</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drawing>
          <wp:inline distB="114300" distT="114300" distL="114300" distR="114300">
            <wp:extent cx="2250691" cy="1195388"/>
            <wp:effectExtent b="0" l="0" r="0" t="0"/>
            <wp:docPr id="32" name="image14.jpg"/>
            <a:graphic>
              <a:graphicData uri="http://schemas.openxmlformats.org/drawingml/2006/picture">
                <pic:pic>
                  <pic:nvPicPr>
                    <pic:cNvPr id="0" name="image14.jpg"/>
                    <pic:cNvPicPr preferRelativeResize="0"/>
                  </pic:nvPicPr>
                  <pic:blipFill>
                    <a:blip r:embed="rId20"/>
                    <a:srcRect b="27450" l="53512" r="2574" t="4411"/>
                    <a:stretch>
                      <a:fillRect/>
                    </a:stretch>
                  </pic:blipFill>
                  <pic:spPr>
                    <a:xfrm>
                      <a:off x="0" y="0"/>
                      <a:ext cx="2250691" cy="119538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classification accuracy is 0.89 and the No-Information-rate is 0.5 (after up-sampling), which is a good result. But there are several things that need to be considered before making a conclusion. Firstly, we applied up-sampling techniques, many of the observations in the data are not real. This good result might not be real. Moreover, we did model fitting and testing on the same data set, which might overestimate the prediction accuracy. Cross-validation is a way to fix this problem, but we do not have all real data at this moment, cross-validation on fabricated data still will not help much.</w:t>
      </w:r>
    </w:p>
    <w:p w:rsidR="00000000" w:rsidDel="00000000" w:rsidP="00000000" w:rsidRDefault="00000000" w:rsidRPr="00000000" w14:paraId="00000192">
      <w:pPr>
        <w:rPr/>
      </w:pPr>
      <w:r w:rsidDel="00000000" w:rsidR="00000000" w:rsidRPr="00000000">
        <w:rPr>
          <w:rtl w:val="0"/>
        </w:rPr>
        <w:t xml:space="preserve">In conclusion, classification is a promising method to model the emotional disturbance. However, before we make a solid conclusion that classification is for sure to work, we need to collect more data, especially a considerably larger group of patients who would be classified as emotionally dsturbed.</w:t>
      </w:r>
      <w:r w:rsidDel="00000000" w:rsidR="00000000" w:rsidRPr="00000000">
        <w:rPr>
          <w:rtl w:val="0"/>
        </w:rPr>
      </w:r>
    </w:p>
    <w:p w:rsidR="00000000" w:rsidDel="00000000" w:rsidP="00000000" w:rsidRDefault="00000000" w:rsidRPr="00000000" w14:paraId="00000193">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Title"/>
        <w:rPr/>
      </w:pPr>
      <w:r w:rsidDel="00000000" w:rsidR="00000000" w:rsidRPr="00000000">
        <w:rPr>
          <w:rtl w:val="0"/>
        </w:rPr>
        <w:t xml:space="preserve">Conclusions</w:t>
      </w:r>
    </w:p>
    <w:p w:rsidR="00000000" w:rsidDel="00000000" w:rsidP="00000000" w:rsidRDefault="00000000" w:rsidRPr="00000000" w14:paraId="00000195">
      <w:pPr>
        <w:rPr/>
      </w:pPr>
      <w:r w:rsidDel="00000000" w:rsidR="00000000" w:rsidRPr="00000000">
        <w:rPr>
          <w:rtl w:val="0"/>
        </w:rPr>
        <w:t xml:space="preserve">Based on our analysis we conclude the following.</w:t>
      </w:r>
    </w:p>
    <w:p w:rsidR="00000000" w:rsidDel="00000000" w:rsidP="00000000" w:rsidRDefault="00000000" w:rsidRPr="00000000" w14:paraId="00000196">
      <w:pPr>
        <w:rPr/>
      </w:pPr>
      <w:r w:rsidDel="00000000" w:rsidR="00000000" w:rsidRPr="00000000">
        <w:rPr>
          <w:rtl w:val="0"/>
        </w:rPr>
        <w:t xml:space="preserve">Milestone 1 - Choosing the Best Survey</w:t>
      </w:r>
    </w:p>
    <w:p w:rsidR="00000000" w:rsidDel="00000000" w:rsidP="00000000" w:rsidRDefault="00000000" w:rsidRPr="00000000" w14:paraId="00000197">
      <w:pPr>
        <w:numPr>
          <w:ilvl w:val="0"/>
          <w:numId w:val="5"/>
        </w:numPr>
        <w:spacing w:after="0" w:afterAutospacing="0"/>
        <w:ind w:left="720" w:hanging="360"/>
        <w:rPr>
          <w:u w:val="none"/>
        </w:rPr>
      </w:pPr>
      <w:r w:rsidDel="00000000" w:rsidR="00000000" w:rsidRPr="00000000">
        <w:rPr>
          <w:rtl w:val="0"/>
        </w:rPr>
        <w:t xml:space="preserve">We recommend TFI as the primary tool to measure Tinnitus. To further improve validity you could remove questions Q4 and Q22.</w:t>
      </w:r>
    </w:p>
    <w:p w:rsidR="00000000" w:rsidDel="00000000" w:rsidP="00000000" w:rsidRDefault="00000000" w:rsidRPr="00000000" w14:paraId="00000198">
      <w:pPr>
        <w:numPr>
          <w:ilvl w:val="0"/>
          <w:numId w:val="5"/>
        </w:numPr>
        <w:spacing w:after="0" w:afterAutospacing="0"/>
        <w:ind w:left="720" w:hanging="360"/>
        <w:rPr>
          <w:u w:val="none"/>
        </w:rPr>
      </w:pPr>
      <w:r w:rsidDel="00000000" w:rsidR="00000000" w:rsidRPr="00000000">
        <w:rPr>
          <w:rtl w:val="0"/>
        </w:rPr>
        <w:t xml:space="preserve"> TPFQ is also a good candidate. It’s validity is slightly worse, but this is due largely to having fewer subscales. TPFQ validity is improved significantly by removing questions Q3, Q5, and Q8.</w:t>
      </w:r>
    </w:p>
    <w:p w:rsidR="00000000" w:rsidDel="00000000" w:rsidP="00000000" w:rsidRDefault="00000000" w:rsidRPr="00000000" w14:paraId="00000199">
      <w:pPr>
        <w:numPr>
          <w:ilvl w:val="0"/>
          <w:numId w:val="5"/>
        </w:numPr>
        <w:ind w:left="720" w:hanging="360"/>
        <w:rPr>
          <w:u w:val="none"/>
        </w:rPr>
      </w:pPr>
      <w:r w:rsidDel="00000000" w:rsidR="00000000" w:rsidRPr="00000000">
        <w:rPr>
          <w:rtl w:val="0"/>
        </w:rPr>
        <w:t xml:space="preserve">THI has poor fit relative to the other surveys.</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Milestone 2 - Influence of Tinnitus onto Emotion</w:t>
      </w:r>
    </w:p>
    <w:p w:rsidR="00000000" w:rsidDel="00000000" w:rsidP="00000000" w:rsidRDefault="00000000" w:rsidRPr="00000000" w14:paraId="0000019C">
      <w:pPr>
        <w:numPr>
          <w:ilvl w:val="0"/>
          <w:numId w:val="5"/>
        </w:numPr>
        <w:spacing w:after="0" w:afterAutospacing="0"/>
        <w:ind w:left="720" w:hanging="360"/>
        <w:rPr>
          <w:u w:val="none"/>
        </w:rPr>
      </w:pPr>
      <w:r w:rsidDel="00000000" w:rsidR="00000000" w:rsidRPr="00000000">
        <w:rPr>
          <w:rtl w:val="0"/>
        </w:rPr>
        <w:t xml:space="preserve">Neither BAI nor BDI is good enough to be a response variable for regression, possibly due to the subjective nature of the self-report questionnaire.</w:t>
      </w:r>
    </w:p>
    <w:p w:rsidR="00000000" w:rsidDel="00000000" w:rsidP="00000000" w:rsidRDefault="00000000" w:rsidRPr="00000000" w14:paraId="0000019D">
      <w:pPr>
        <w:numPr>
          <w:ilvl w:val="0"/>
          <w:numId w:val="5"/>
        </w:numPr>
        <w:spacing w:after="0" w:afterAutospacing="0"/>
        <w:ind w:left="720" w:hanging="360"/>
      </w:pPr>
      <w:r w:rsidDel="00000000" w:rsidR="00000000" w:rsidRPr="00000000">
        <w:rPr>
          <w:rtl w:val="0"/>
        </w:rPr>
        <w:t xml:space="preserve">Ensemble methods for regression overfit and offer poor predictions.</w:t>
      </w:r>
    </w:p>
    <w:p w:rsidR="00000000" w:rsidDel="00000000" w:rsidP="00000000" w:rsidRDefault="00000000" w:rsidRPr="00000000" w14:paraId="0000019E">
      <w:pPr>
        <w:numPr>
          <w:ilvl w:val="0"/>
          <w:numId w:val="5"/>
        </w:numPr>
        <w:spacing w:after="0" w:afterAutospacing="0"/>
        <w:ind w:left="720" w:hanging="360"/>
        <w:rPr>
          <w:u w:val="none"/>
        </w:rPr>
      </w:pPr>
      <w:r w:rsidDel="00000000" w:rsidR="00000000" w:rsidRPr="00000000">
        <w:rPr>
          <w:rtl w:val="0"/>
        </w:rPr>
        <w:t xml:space="preserve">Using median as a cutoff, classification on BAI and BDI performs poorly with a simple logistic model.</w:t>
      </w:r>
    </w:p>
    <w:p w:rsidR="00000000" w:rsidDel="00000000" w:rsidP="00000000" w:rsidRDefault="00000000" w:rsidRPr="00000000" w14:paraId="0000019F">
      <w:pPr>
        <w:numPr>
          <w:ilvl w:val="0"/>
          <w:numId w:val="5"/>
        </w:numPr>
        <w:ind w:left="720" w:hanging="360"/>
        <w:rPr>
          <w:u w:val="none"/>
        </w:rPr>
      </w:pPr>
      <w:r w:rsidDel="00000000" w:rsidR="00000000" w:rsidRPr="00000000">
        <w:rPr>
          <w:rtl w:val="0"/>
        </w:rPr>
        <w:t xml:space="preserve">After up-sampling, classification fits well. This allows us to use the scientific cutoffs of each questionnaire even though our data is unbalanced.</w:t>
      </w: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F5C7F"/>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C683E"/>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C683E"/>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4F5C7F"/>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B12A6C"/>
    <w:pPr>
      <w:ind w:left="720"/>
      <w:contextualSpacing w:val="1"/>
    </w:pPr>
  </w:style>
  <w:style w:type="table" w:styleId="TableGrid">
    <w:name w:val="Table Grid"/>
    <w:basedOn w:val="TableNormal"/>
    <w:uiPriority w:val="39"/>
    <w:rsid w:val="00CC7C3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6.png"/><Relationship Id="rId10" Type="http://schemas.openxmlformats.org/officeDocument/2006/relationships/image" Target="media/image13.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eH4rPep7Cg9rfXUo1lBAa0Vnew==">AMUW2mXeWxLqK9f+MD5AfH7uuH/SCBvTq0QlDrXvvfFqIIhr3kkkH5tkTjyIDeBg2duCnPDoxJqUZzTSa1/ru+qPDZhbSGFkaGbw52s7djynzve422fHYz4MrusbxozF5MM9wi2H+hNg9H5yWGTZQmXNFmRH2B5Jo+bDEgGeUhwOqDtoy/Cxn+ai74Q8b/gWveX8H/2Gi7b9uVIGWbcjK467b17m11y9B4hR1JEo8uNF9TIEoAE99iGj4Q5akhXkkQVdT7c5eEZn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2021-03-12T07:42:00Z</dcterms:created>
  <dc:creator>Jesse</dc:creator>
</cp:coreProperties>
</file>