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color w:val="2B7FD4"/>
          <w:sz w:val="48"/>
        </w:rPr>
        <w:t>安全合规自查报告</w:t>
      </w:r>
    </w:p>
    <w:p>
      <w:pPr>
        <w:spacing w:after="720"/>
        <w:jc w:val="center"/>
      </w:pPr>
      <w:r>
        <w:rPr>
          <w:rFonts w:ascii="微软雅黑" w:hAnsi="微软雅黑" w:eastAsia="微软雅黑"/>
          <w:b w:val="0"/>
          <w:color w:val="5A6B7D"/>
          <w:sz w:val="22"/>
        </w:rPr>
        <w:t>基于等保2.0 · NIST CSF 2.0 · OWASP Top 10 2021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自查主题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我们公司十几个人都用同一个管理员账号登录进销存系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生成时间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2026-09-28 22:45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记录编号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ad2ff66877d4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依据标准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等保2.0、NIST CSF 2.0、OWASP Top 10 2021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问答条数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条提问</w:t>
            </w:r>
          </w:p>
        </w:tc>
      </w:tr>
    </w:tbl>
    <w:p>
      <w:pPr>
        <w:spacing w:after="600"/>
      </w:pPr>
    </w:p>
    <w:p>
      <w:pPr>
        <w:spacing w:after="80"/>
      </w:pPr>
      <w:r>
        <w:rPr>
          <w:rFonts w:ascii="微软雅黑" w:hAnsi="微软雅黑" w:eastAsia="微软雅黑"/>
          <w:b/>
          <w:color w:val="8A6100"/>
          <w:sz w:val="22"/>
        </w:rPr>
        <w:t>责任声明</w:t>
      </w:r>
    </w:p>
    <w:p>
      <w:pPr>
        <w:spacing w:after="0"/>
      </w:pPr>
      <w:r>
        <w:rPr>
          <w:rFonts w:ascii="微软雅黑" w:hAnsi="微软雅黑" w:eastAsia="微软雅黑"/>
          <w:b w:val="0"/>
          <w:color w:val="5A6B7D"/>
          <w:sz w:val="19"/>
        </w:rPr>
        <w:t>本报告由「安全合规自查助手」根据您本机知识库中的条款自动生成，用于辅助自查参考，不构成正式测评结论，也不构成法律意见。涉及数据加密、访问控制、个人信息保护等高风险事项，建议咨询专业安全顾问或有资质的等保测评机构。</w:t>
      </w:r>
    </w:p>
    <w:p>
      <w:r>
        <w:br w:type="page"/>
      </w:r>
    </w:p>
    <w:p>
      <w:pPr>
        <w:spacing w:after="160"/>
      </w:pPr>
      <w:r>
        <w:rPr>
          <w:rFonts w:ascii="微软雅黑" w:hAnsi="微软雅黑" w:eastAsia="微软雅黑"/>
          <w:b/>
          <w:color w:val="8A6100"/>
          <w:sz w:val="32"/>
        </w:rPr>
        <w:t>⚠️ 高风险事项汇总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5A6B7D"/>
          <w:sz w:val="20"/>
        </w:rPr>
        <w:t>以下主题属于监管重点检查项，建议优先整改。</w:t>
      </w:r>
    </w:p>
    <w:p>
      <w:pPr>
        <w:spacing w:after="60"/>
      </w:pPr>
      <w:r>
        <w:rPr>
          <w:rFonts w:ascii="微软雅黑" w:hAnsi="微软雅黑" w:eastAsia="微软雅黑"/>
          <w:b/>
          <w:color w:val="8A6100"/>
          <w:sz w:val="24"/>
        </w:rPr>
        <w:t>⚠️ 访问控制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sz w:val="20"/>
        </w:rPr>
        <w:t>账号共享、权限过大、离职权限未回收是最常见的越权与数据泄露入口。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color w:val="5A6B7D"/>
          <w:sz w:val="20"/>
        </w:rPr>
        <w:t>涉及条款：8.1.4.1、8.1.4.29、8.1.5.1、A05:2021-CWE-16</w:t>
      </w:r>
    </w:p>
    <w:p>
      <w:pPr>
        <w:spacing w:after="60"/>
      </w:pPr>
      <w:r>
        <w:rPr>
          <w:rFonts w:ascii="微软雅黑" w:hAnsi="微软雅黑" w:eastAsia="微软雅黑"/>
          <w:b/>
          <w:color w:val="8A6100"/>
          <w:sz w:val="24"/>
        </w:rPr>
        <w:t>⚠️ 数据加密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sz w:val="20"/>
        </w:rPr>
        <w:t>加密措施不到位会导致数据泄露、被拖库后明文暴露，属于监管重点检查项。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color w:val="5A6B7D"/>
          <w:sz w:val="20"/>
        </w:rPr>
        <w:t>涉及条款：8.1.4.19、A02:2021-4</w:t>
      </w:r>
    </w:p>
    <w:p>
      <w:pPr>
        <w:spacing w:after="60"/>
      </w:pPr>
      <w:r>
        <w:rPr>
          <w:rFonts w:ascii="微软雅黑" w:hAnsi="微软雅黑" w:eastAsia="微软雅黑"/>
          <w:b/>
          <w:color w:val="8A6100"/>
          <w:sz w:val="24"/>
        </w:rPr>
        <w:t>⚠️ 个人信息保护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sz w:val="20"/>
        </w:rPr>
        <w:t>涉及个人信息处理须履行告知同意、最小必要等义务，违规面临行政处罚与民事赔偿。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color w:val="5A6B7D"/>
          <w:sz w:val="20"/>
        </w:rPr>
        <w:t>涉及条款：A02:2021-4</w:t>
      </w:r>
    </w:p>
    <w:p>
      <w:r>
        <w:br w:type="page"/>
      </w:r>
    </w:p>
    <w:p>
      <w:pPr>
        <w:spacing w:after="200"/>
      </w:pPr>
      <w:r>
        <w:rPr>
          <w:rFonts w:ascii="微软雅黑" w:hAnsi="微软雅黑" w:eastAsia="微软雅黑"/>
          <w:b/>
          <w:color w:val="2B7FD4"/>
          <w:sz w:val="32"/>
        </w:rPr>
        <w:t>自查记录明细</w:t>
      </w:r>
    </w:p>
    <w:p>
      <w:pPr>
        <w:spacing w:after="60"/>
      </w:pPr>
      <w:r>
        <w:rPr>
          <w:rFonts w:ascii="微软雅黑" w:hAnsi="微软雅黑" w:eastAsia="微软雅黑"/>
          <w:b/>
          <w:color w:val="2B7FD4"/>
          <w:sz w:val="24"/>
        </w:rPr>
        <w:t>问题 1</w:t>
      </w:r>
    </w:p>
    <w:p>
      <w:pPr>
        <w:spacing w:after="160"/>
        <w:ind w:left="227"/>
      </w:pPr>
      <w:r>
        <w:rPr>
          <w:rFonts w:ascii="微软雅黑" w:hAnsi="微软雅黑" w:eastAsia="微软雅黑"/>
          <w:b w:val="0"/>
          <w:sz w:val="21"/>
        </w:rPr>
        <w:t>我们公司十几个人都用同一个管理员账号登录进销存系统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回答</w:t>
      </w:r>
    </w:p>
    <w:p>
      <w:pPr>
        <w:spacing w:after="60"/>
        <w:ind w:left="227"/>
      </w:pPr>
      <w:r>
        <w:rPr>
          <w:rFonts w:ascii="微软雅黑" w:hAnsi="微软雅黑" w:eastAsia="微软雅黑"/>
          <w:b w:val="0"/>
          <w:sz w:val="21"/>
        </w:rPr>
        <w:t>存在高风险。多名员工共用一个管理员账号，违反了访问控制的要求。建议立即修改为每个人单独使用不同的管理员账号。</w:t>
      </w:r>
    </w:p>
    <w:p>
      <w:pPr>
        <w:spacing w:after="60"/>
        <w:ind w:left="227"/>
      </w:pPr>
      <w:r>
        <w:rPr>
          <w:rFonts w:ascii="微软雅黑" w:hAnsi="微软雅黑" w:eastAsia="微软雅黑"/>
          <w:b w:val="0"/>
          <w:sz w:val="21"/>
        </w:rPr>
        <w:t>本回答仅用于辅助自查，不构成正式测评结论，具体情况以正式标准文本和专业顾问意见为准。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引用条款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sz w:val="20"/>
        </w:rPr>
        <w:t>⚠️ 8.1.4.1 身份鉴别（标识与口令复杂度） —— 等保2.0（要点摘要，非标准原文）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sz w:val="20"/>
        </w:rPr>
        <w:t>⚠️ 8.1.5.1 系统管理（系统管理员权限） —— 等保2.0（要点摘要，非标准原文）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sz w:val="20"/>
        </w:rPr>
        <w:t>⚠️ 8.1.4.29 身份鉴别（鉴别信息复杂度与定期更换） —— 等保2.0（要点摘要，非标准原文）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sz w:val="20"/>
        </w:rPr>
        <w:t>⚠️ A05:2021-CWE-16 默认账户与默认口令未修改 —— OWASP Top 10 2021（要点摘要，非标准原文）</w:t>
      </w:r>
    </w:p>
    <w:p>
      <w:pPr>
        <w:spacing w:after="60"/>
      </w:pPr>
      <w:r>
        <w:rPr>
          <w:rFonts w:ascii="微软雅黑" w:hAnsi="微软雅黑" w:eastAsia="微软雅黑"/>
          <w:b/>
          <w:color w:val="8A6100"/>
          <w:sz w:val="22"/>
        </w:rPr>
        <w:t>⚠️ 风险提示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color w:val="8A6100"/>
          <w:sz w:val="20"/>
        </w:rPr>
        <w:t>⚠️ 访问控制：账号共享、权限过大、离职权限未回收是最常见的越权与数据泄露入口。</w:t>
      </w:r>
    </w:p>
    <w:p>
      <w:pPr>
        <w:spacing w:after="200"/>
      </w:pPr>
    </w:p>
    <w:p>
      <w:pPr>
        <w:spacing w:after="60"/>
      </w:pPr>
      <w:r>
        <w:rPr>
          <w:rFonts w:ascii="微软雅黑" w:hAnsi="微软雅黑" w:eastAsia="微软雅黑"/>
          <w:b/>
          <w:color w:val="2B7FD4"/>
          <w:sz w:val="24"/>
        </w:rPr>
        <w:t>问题 2</w:t>
      </w:r>
    </w:p>
    <w:p>
      <w:pPr>
        <w:spacing w:after="160"/>
        <w:ind w:left="227"/>
      </w:pPr>
      <w:r>
        <w:rPr>
          <w:rFonts w:ascii="微软雅黑" w:hAnsi="微软雅黑" w:eastAsia="微软雅黑"/>
          <w:b w:val="0"/>
          <w:sz w:val="21"/>
        </w:rPr>
        <w:t>客户的手机号存在数据库里没有加密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回答</w:t>
      </w:r>
    </w:p>
    <w:p>
      <w:pPr>
        <w:spacing w:after="60"/>
        <w:ind w:left="227"/>
      </w:pPr>
      <w:r>
        <w:rPr>
          <w:rFonts w:ascii="微软雅黑" w:hAnsi="微软雅黑" w:eastAsia="微软雅黑"/>
          <w:b w:val="0"/>
          <w:sz w:val="21"/>
        </w:rPr>
        <w:t>存在高风险。客户的手机号没有加密存储，违反了数据加密的要求。建议立即对客户手机号进行加密处理，防止数据泄露。同时，需要检查日志记录是否脱敏，确保敏感信息不被滥用。</w:t>
      </w:r>
    </w:p>
    <w:p>
      <w:pPr>
        <w:spacing w:after="60"/>
        <w:ind w:left="227"/>
      </w:pPr>
      <w:r>
        <w:rPr>
          <w:rFonts w:ascii="微软雅黑" w:hAnsi="微软雅黑" w:eastAsia="微软雅黑"/>
          <w:b w:val="0"/>
          <w:sz w:val="21"/>
        </w:rPr>
        <w:t>本回答仅用于辅助自查，不构成正式测评结论，具体情况以正式标准文本和专业顾问意见为准。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引用条款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sz w:val="20"/>
        </w:rPr>
        <w:t>⚠️ A02:2021-4 数据存储与备份未加密 —— OWASP Top 10 2021（要点摘要，非标准原文）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sz w:val="20"/>
        </w:rPr>
        <w:t>⚠️ 8.1.4.19 数据保密性（存储保密性） —— 等保2.0（要点摘要，非标准原文）</w:t>
      </w:r>
    </w:p>
    <w:p>
      <w:pPr>
        <w:spacing w:after="60"/>
      </w:pPr>
      <w:r>
        <w:rPr>
          <w:rFonts w:ascii="微软雅黑" w:hAnsi="微软雅黑" w:eastAsia="微软雅黑"/>
          <w:b/>
          <w:color w:val="8A6100"/>
          <w:sz w:val="22"/>
        </w:rPr>
        <w:t>⚠️ 风险提示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color w:val="8A6100"/>
          <w:sz w:val="20"/>
        </w:rPr>
        <w:t>⚠️ 数据加密：加密措施不到位会导致数据泄露、被拖库后明文暴露，属于监管重点检查项。</w:t>
      </w:r>
    </w:p>
    <w:p>
      <w:pPr>
        <w:spacing w:after="40"/>
        <w:ind w:left="227"/>
      </w:pPr>
      <w:r>
        <w:rPr>
          <w:rFonts w:ascii="微软雅黑" w:hAnsi="微软雅黑" w:eastAsia="微软雅黑"/>
          <w:b w:val="0"/>
          <w:color w:val="8A6100"/>
          <w:sz w:val="20"/>
        </w:rPr>
        <w:t>⚠️ 个人信息保护：涉及个人信息处理须履行告知同意、最小必要等义务，违规面临行政处罚与民事赔偿。</w:t>
      </w:r>
    </w:p>
    <w:p>
      <w:pPr>
        <w:spacing w:after="200"/>
      </w:pPr>
    </w:p>
    <w:p>
      <w:r>
        <w:br w:type="page"/>
      </w:r>
    </w:p>
    <w:p>
      <w:pPr>
        <w:spacing w:after="200"/>
      </w:pPr>
      <w:r>
        <w:rPr>
          <w:rFonts w:ascii="微软雅黑" w:hAnsi="微软雅黑" w:eastAsia="微软雅黑"/>
          <w:b/>
          <w:color w:val="2B7FD4"/>
          <w:sz w:val="32"/>
        </w:rPr>
        <w:t>附录：引用条款清单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标准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条款编号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条款标题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内容类型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OWASP Top 10 2021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A02:2021-4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数据存储与备份未加密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要点摘要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OWASP Top 10 2021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A05:2021-CWE-16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默认账户与默认口令未修改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要点摘要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等保2.0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8.1.4.1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身份鉴别（标识与口令复杂度）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要点摘要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等保2.0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8.1.4.19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数据保密性（存储保密性）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要点摘要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等保2.0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8.1.4.29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身份鉴别（鉴别信息复杂度与定期更换）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要点摘要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等保2.0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8.1.5.1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系统管理（系统管理员权限）</w:t>
            </w:r>
          </w:p>
        </w:tc>
        <w:tc>
          <w:tcPr>
            <w:tcW w:type="dxa" w:w="2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要点摘要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5A6B7D"/>
          <w:sz w:val="19"/>
        </w:rPr>
        <w:t>共引用 6 个条款。</w:t>
      </w:r>
    </w:p>
    <w:p>
      <w:r>
        <w:br w:type="page"/>
      </w:r>
    </w:p>
    <w:p>
      <w:pPr>
        <w:spacing w:after="160"/>
      </w:pPr>
      <w:r>
        <w:rPr>
          <w:rFonts w:ascii="微软雅黑" w:hAnsi="微软雅黑" w:eastAsia="微软雅黑"/>
          <w:b/>
          <w:color w:val="8A6100"/>
          <w:sz w:val="28"/>
        </w:rPr>
        <w:t>免责声明</w:t>
      </w: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本报告由「安全合规自查助手」根据您本机知识库中的条款自动生成，用于辅助自查参考，不构成正式测评结论，也不构成法律意见。涉及数据加密、访问控制、个人信息保护等高风险事项，建议咨询专业安全顾问或有资质的等保测评机构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关于知识库来源：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A6B7D"/>
          <w:sz w:val="20"/>
        </w:rPr>
        <w:t>· NIST CSF 2.0：美国政府作品，属公共领域，收录官方原文。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A6B7D"/>
          <w:sz w:val="20"/>
        </w:rPr>
        <w:t>· OWASP Top 10 2021：采用 CC BY-SA 4.0 许可，署名 OWASP Foundation。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A6B7D"/>
          <w:sz w:val="20"/>
        </w:rPr>
        <w:t>· 等保2.0（GB/T 22239-2019）：本项目未收录国标原文，仅收录公开控制项名称与自行改写的要点摘要，一切以正式发布的标准文本为准，请通过正规渠道购买。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A6B7D"/>
          <w:sz w:val="20"/>
        </w:rPr>
        <w:t>· 用户自行导入的资料：内容与编号由用户提供，本项目不对其准确性负责。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