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i/>
          <w:color w:val="0E6E73"/>
          <w:sz w:val="28"/>
        </w:rPr>
        <w:t>Technical Report</w:t>
      </w:r>
    </w:p>
    <w:p>
      <w:pPr>
        <w:jc w:val="center"/>
      </w:pPr>
      <w:r>
        <w:rPr>
          <w:rFonts w:ascii="Calibri" w:hAnsi="Calibri"/>
          <w:b/>
          <w:color w:val="1A5276"/>
          <w:sz w:val="44"/>
        </w:rPr>
        <w:t>AI-Powered Anti-Money Laundering Monitoring System</w:t>
      </w:r>
    </w:p>
    <w:p>
      <w:pPr>
        <w:jc w:val="center"/>
      </w:pPr>
      <w:r>
        <w:rPr>
          <w:rFonts w:ascii="Calibri" w:hAnsi="Calibri"/>
          <w:color w:val="0E6E73"/>
          <w:sz w:val="28"/>
        </w:rPr>
        <w:t>Models, Techniques, Parameters, and Results</w:t>
      </w:r>
    </w:p>
    <w:p/>
    <w:p>
      <w:pPr>
        <w:spacing w:before="80" w:after="80"/>
        <w:pBdr>
          <w:bottom w:val="single" w:sz="4" w:space="1" w:color="1A5276"/>
        </w:pBdr>
      </w:pPr>
    </w:p>
    <w:p/>
    <w:p>
      <w:pPr>
        <w:jc w:val="center"/>
      </w:pPr>
      <w:r>
        <w:rPr>
          <w:rFonts w:ascii="Calibri" w:hAnsi="Calibri"/>
          <w:b/>
          <w:color w:val="1A5276"/>
          <w:sz w:val="22"/>
        </w:rPr>
        <w:t xml:space="preserve">Dataset:  </w:t>
      </w:r>
      <w:r>
        <w:rPr>
          <w:rFonts w:ascii="Calibri" w:hAnsi="Calibri"/>
          <w:color w:val="444444"/>
          <w:sz w:val="22"/>
        </w:rPr>
        <w:t>IBM AML LI-Small (250,000 transactions, 234,534 accounts)</w:t>
      </w:r>
    </w:p>
    <w:p>
      <w:pPr>
        <w:jc w:val="center"/>
      </w:pPr>
      <w:r>
        <w:rPr>
          <w:rFonts w:ascii="Calibri" w:hAnsi="Calibri"/>
          <w:b/>
          <w:color w:val="1A5276"/>
          <w:sz w:val="22"/>
        </w:rPr>
        <w:t xml:space="preserve">Prevalence:  </w:t>
      </w:r>
      <w:r>
        <w:rPr>
          <w:rFonts w:ascii="Calibri" w:hAnsi="Calibri"/>
          <w:color w:val="444444"/>
          <w:sz w:val="22"/>
        </w:rPr>
        <w:t>2.26% suspicious accounts (5,304 known cases)</w:t>
      </w:r>
    </w:p>
    <w:p>
      <w:pPr>
        <w:jc w:val="center"/>
      </w:pPr>
      <w:r>
        <w:rPr>
          <w:rFonts w:ascii="Calibri" w:hAnsi="Calibri"/>
          <w:b/>
          <w:color w:val="1A5276"/>
          <w:sz w:val="22"/>
        </w:rPr>
        <w:t xml:space="preserve">Regulatory:  </w:t>
      </w:r>
      <w:r>
        <w:rPr>
          <w:rFonts w:ascii="Calibri" w:hAnsi="Calibri"/>
          <w:color w:val="444444"/>
          <w:sz w:val="22"/>
        </w:rPr>
        <w:t>MAS Notice 626 / MAS FEAT Framework</w:t>
      </w:r>
    </w:p>
    <w:p>
      <w:pPr>
        <w:jc w:val="center"/>
      </w:pPr>
      <w:r>
        <w:rPr>
          <w:rFonts w:ascii="Calibri" w:hAnsi="Calibri"/>
          <w:b/>
          <w:color w:val="1A5276"/>
          <w:sz w:val="22"/>
        </w:rPr>
        <w:t xml:space="preserve">Date:  </w:t>
      </w:r>
      <w:r>
        <w:rPr>
          <w:rFonts w:ascii="Calibri" w:hAnsi="Calibri"/>
          <w:color w:val="444444"/>
          <w:sz w:val="22"/>
        </w:rPr>
        <w:t>June 2026</w:t>
      </w:r>
    </w:p>
    <w:p>
      <w:pPr>
        <w:pStyle w:val="Heading1"/>
        <w:pageBreakBefore/>
      </w:pPr>
      <w:r>
        <w:t>1. Executive Summary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This report documents the design, implementation, and empirical evaluation of the v2 AI-powered Anti-Money Laundering (AML) monitoring system. The system combines three complementary analytical layers — a rule-based detection engine, Leiden graph community detection, and an XGBoost supervised classifier — into a single weighted risk score. SHAP (SHapley Additive exPlanations) values provide per-account transparency required under the Monetary Authority of Singapore (MAS) FEAT framework.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The system was validated on the IBM AML LI-Small dataset. Key results on the held-out test set (30% of 234,534 accounts) are summarised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Detection Method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Alerts Generated</w:t>
            </w:r>
          </w:p>
        </w:tc>
        <w:tc>
          <w:tcPr>
            <w:tcW w:type="dxa" w:w="1584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584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584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F1 Score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Rules only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14,800</w:t>
            </w:r>
          </w:p>
        </w:tc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2.3%</w:t>
            </w:r>
          </w:p>
        </w:tc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21.4%</w:t>
            </w:r>
          </w:p>
        </w:tc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4.2%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XGBoost (optimised)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1,992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22.1%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27.7%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24.6%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Community detection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3,926</w:t>
            </w:r>
          </w:p>
        </w:tc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12.0%</w:t>
            </w:r>
          </w:p>
        </w:tc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29.7%</w:t>
            </w:r>
          </w:p>
        </w:tc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17.2%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Combined AI system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1,172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31.8%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23.4%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27.0%</w:t>
            </w:r>
          </w:p>
        </w:tc>
      </w:tr>
    </w:tbl>
    <w:p>
      <w:pPr>
        <w:spacing w:after="120"/>
      </w:pP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The combined system raises precision from 2.3% (rules only) to 31.8% — roughly a 14x improvement — while reducing the deep-review queue by 92%. It is intended as a prioritisation overlay rather than a replacement detector: the rules remain switched on as a coverage backstop, and the combined flag's standalone recall (23.4%) is now comparable to the rules-only baseline (21.4%). The workload saving comes from reviewing the highest-risk cases first and from auto-generated investigation write-ups, not from discarding alerts.</w:t>
      </w:r>
    </w:p>
    <w:p>
      <w:pPr>
        <w:pStyle w:val="Heading1"/>
        <w:pageBreakBefore/>
      </w:pPr>
      <w:r>
        <w:t>2. Dataset and Problem Framing</w:t>
      </w:r>
    </w:p>
    <w:p>
      <w:pPr>
        <w:pStyle w:val="Heading2"/>
      </w:pPr>
      <w:r>
        <w:t>2.1  IBM AML LI-Small Dataset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The IBM AML LI-Small benchmark dataset is a publicly available synthetic transaction dataset designed to reflect realistic interbank money-laundering patterns. It contains labelled records at the transaction level (is_laundering flag), which are aggregated to the account level for model training.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576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Total transactions loaded</w:t>
            </w:r>
          </w:p>
        </w:tc>
        <w:tc>
          <w:tcPr>
            <w:tcW w:type="dxa" w:w="57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250,000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Unique accounts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234,534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Known suspicious accounts</w:t>
            </w:r>
          </w:p>
        </w:tc>
        <w:tc>
          <w:tcPr>
            <w:tcW w:type="dxa" w:w="57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5,304 (2.26%)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Legitimate accounts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229,230 (97.74%)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Observation window</w:t>
            </w:r>
          </w:p>
        </w:tc>
        <w:tc>
          <w:tcPr>
            <w:tcW w:type="dxa" w:w="57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Multi-month rolling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Sender/receiver format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BankCode_AccountID composite key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Payment formats</w:t>
            </w:r>
          </w:p>
        </w:tc>
        <w:tc>
          <w:tcPr>
            <w:tcW w:type="dxa" w:w="57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Wire, ACH, Cheque, Credit Card, Cash, Reinvestment, Bitcoin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Currency fields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Payment + receiving currency (15 currencies; amounts FX-normalised to USD)</w:t>
            </w:r>
          </w:p>
        </w:tc>
      </w:tr>
    </w:tbl>
    <w:p>
      <w:pPr>
        <w:spacing w:after="120"/>
      </w:pP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Label construction: an account is classified as suspicious if it appears as either sender or receiver in at least one transaction where is_laundering = 1.</w:t>
      </w:r>
    </w:p>
    <w:p>
      <w:pPr>
        <w:pStyle w:val="Heading2"/>
      </w:pPr>
      <w:r>
        <w:t>2.2  Class Imbalance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The 2.26% positive rate creates a severe class imbalance (ratio approximately 43:1). Standard accuracy is meaningless in this regime. The system therefore prioritises Precision-Recall trade-offs and the AUC-PR metric over AUC-ROC.</w:t>
      </w:r>
    </w:p>
    <w:p>
      <w:pPr>
        <w:pStyle w:val="Heading2"/>
      </w:pPr>
      <w:r>
        <w:t>2.3  Sampling Strategy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All labelled suspicious transactions are retained in full; legitimate transactions are randomly down-sampled to fill the remaining quota (up to 250,000 total), guaranteeing no positive cases are lost through sampling.</w:t>
      </w:r>
    </w:p>
    <w:p>
      <w:pPr>
        <w:pStyle w:val="Heading1"/>
        <w:pageBreakBefore/>
      </w:pPr>
      <w:r>
        <w:t>3. System Architecture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The pipeline executes sequentially in seven stages. Each stage produces features or scores consumed by later stages; there is no backward data flow that could cause label leakage between train and test sets.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75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1. Data ingestion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ibm_adapter.py</w:t>
            </w:r>
          </w:p>
        </w:tc>
        <w:tc>
          <w:tcPr>
            <w:tcW w:type="dxa" w:w="475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FX-normalised transactions + accounts (amounts in USD)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2. Feature engineering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feature_engineering.py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35 account-level behavioural, network and entity features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3. Rule engine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rule_engine.py</w:t>
            </w:r>
          </w:p>
        </w:tc>
        <w:tc>
          <w:tcPr>
            <w:tcW w:type="dxa" w:w="475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10 binary rule flags + rule_score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4. Community detection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community_detection.py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cluster_id, cluster features (train labels only)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5. XGBoost + SHAP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xgb_model.py</w:t>
            </w:r>
          </w:p>
        </w:tc>
        <w:tc>
          <w:tcPr>
            <w:tcW w:type="dxa" w:w="475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xgb_proba, xgb_score, SHAP drivers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6. Combined risk scoring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risk_scoring.py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risk_score (0-100), risk_category, combined_flag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6b. Focused communities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community_detection.py</w:t>
            </w:r>
          </w:p>
        </w:tc>
        <w:tc>
          <w:tcPr>
            <w:tcW w:type="dxa" w:w="475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focused_cluster_id for visualisation</w:t>
            </w:r>
          </w:p>
        </w:tc>
      </w:tr>
    </w:tbl>
    <w:p>
      <w:pPr>
        <w:spacing w:after="120"/>
      </w:pP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Stage 6b runs after XGBoost and does not influence any model scores — it exists solely to power the network visualisation in the analyst UI.</w:t>
      </w:r>
    </w:p>
    <w:p>
      <w:pPr>
        <w:pStyle w:val="Heading1"/>
        <w:pageBreakBefore/>
      </w:pPr>
      <w:r>
        <w:t>4. Feature Engineering</w:t>
      </w:r>
    </w:p>
    <w:p>
      <w:pPr>
        <w:pStyle w:val="Heading2"/>
      </w:pPr>
      <w:r>
        <w:t>4.1  Transaction Aggregation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Each raw transaction record is aggregated to the sender (account) level, producing a single feature row per account.</w:t>
      </w:r>
    </w:p>
    <w:p>
      <w:pPr>
        <w:pStyle w:val="Heading3"/>
      </w:pPr>
      <w:r>
        <w:t>Volume and Behaviour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AML Relevance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transaction_count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Number of outgoing transactions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High-volume may indicate mule or pass-through activity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total_outgoing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Sum of all outgoing amounts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Scale of funds movement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average_outgoing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Mean outgoing amount per transaction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Detects round-amount or large-ticket patterns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max_outgoing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Maximum single outgoing amount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Threshold proximity (BSA $10K)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unique_receivers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Count of distinct receiver counterparties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Fan-out indicates layering to many accounts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night_ratio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Fraction of tx between 23:00 and 06:00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Off-hours activity is a typology signal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incoming_count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Number of incoming transactions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Aggregate inflow measurement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total_incoming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Sum of all incoming amounts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Net inflow for pass-through detection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unique_senders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Count of distinct inbound counterparties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Fan-in from many accounts = aggregation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incoming_outgoing_ratio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total_incoming / total_outgoing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Ratio near 1.0 = pure pass-through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near_threshold_count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Tx with amount in [$8,000, $10,000)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Structuring proxy (BSA CTR avoidance)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rapid_transfer_ratio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total_outgoing / total_incoming, clipped at 3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Ratio near 1.0 = rapid movement of funds</w:t>
            </w:r>
          </w:p>
        </w:tc>
      </w:tr>
    </w:tbl>
    <w:p>
      <w:pPr>
        <w:spacing w:after="120"/>
      </w:pPr>
    </w:p>
    <w:p>
      <w:pPr>
        <w:pStyle w:val="Heading3"/>
      </w:pPr>
      <w:r>
        <w:t>Channel, Virtual-Asset and Entity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AML Relevance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cash_ratio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Fraction of outgoing tx using cash payment format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Cash = hardest to trace; high ratio = typology flag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cross_bank_ratio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Fraction of tx where sender and receiver bank differ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Interbank movement = layering pattern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currency_mismatch_ratio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Fraction of tx where payment and receiving currencies differ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Currency conversion = obfuscation mechanism</w:t>
            </w:r>
          </w:p>
        </w:tc>
      </w:tr>
      <w:tr>
        <w:tc>
          <w:tcPr>
            <w:tcW w:type="dxa" w:w="2880"/>
          </w:tcPr>
          <w:p>
            <w:r>
              <w:t>crypto_ratio</w:t>
            </w:r>
          </w:p>
        </w:tc>
        <w:tc>
          <w:tcPr>
            <w:tcW w:type="dxa" w:w="2880"/>
          </w:tcPr>
          <w:p>
            <w:r>
              <w:t>Fraction of outgoing tx settled in virtual assets (e.g. Bitcoin)</w:t>
            </w:r>
          </w:p>
        </w:tc>
        <w:tc>
          <w:tcPr>
            <w:tcW w:type="dxa" w:w="2880"/>
          </w:tcPr>
          <w:p>
            <w:r>
              <w:t>Crypto settlement — FATF VA red flag</w:t>
            </w:r>
          </w:p>
        </w:tc>
      </w:tr>
      <w:tr>
        <w:tc>
          <w:tcPr>
            <w:tcW w:type="dxa" w:w="2880"/>
          </w:tcPr>
          <w:p>
            <w:r>
              <w:t>repeated_amount_ratio</w:t>
            </w:r>
          </w:p>
        </w:tc>
        <w:tc>
          <w:tcPr>
            <w:tcW w:type="dxa" w:w="2880"/>
          </w:tcPr>
          <w:p>
            <w:r>
              <w:t>Fraction of outgoing tx whose exact amount the sender repeats</w:t>
            </w:r>
          </w:p>
        </w:tc>
        <w:tc>
          <w:tcPr>
            <w:tcW w:type="dxa" w:w="2880"/>
          </w:tcPr>
          <w:p>
            <w:r>
              <w:t>Equal-value structuring / smurfing</w:t>
            </w:r>
          </w:p>
        </w:tc>
      </w:tr>
      <w:tr>
        <w:tc>
          <w:tcPr>
            <w:tcW w:type="dxa" w:w="2880"/>
          </w:tcPr>
          <w:p>
            <w:r>
              <w:t>velocity_spike</w:t>
            </w:r>
          </w:p>
        </w:tc>
        <w:tc>
          <w:tcPr>
            <w:tcW w:type="dxa" w:w="2880"/>
          </w:tcPr>
          <w:p>
            <w:r>
              <w:t>Peak single-day outflow relative to the account's daily mean</w:t>
            </w:r>
          </w:p>
        </w:tc>
        <w:tc>
          <w:tcPr>
            <w:tcW w:type="dxa" w:w="2880"/>
          </w:tcPr>
          <w:p>
            <w:r>
              <w:t>Sudden / unexplained change in activity</w:t>
            </w:r>
          </w:p>
        </w:tc>
      </w:tr>
      <w:tr>
        <w:tc>
          <w:tcPr>
            <w:tcW w:type="dxa" w:w="2880"/>
          </w:tcPr>
          <w:p>
            <w:r>
              <w:t>passthrough_min_hours</w:t>
            </w:r>
          </w:p>
        </w:tc>
        <w:tc>
          <w:tcPr>
            <w:tcW w:type="dxa" w:w="2880"/>
          </w:tcPr>
          <w:p>
            <w:r>
              <w:t>Minimum hours between an inflow and a later outflow</w:t>
            </w:r>
          </w:p>
        </w:tc>
        <w:tc>
          <w:tcPr>
            <w:tcW w:type="dxa" w:w="2880"/>
          </w:tcPr>
          <w:p>
            <w:r>
              <w:t>Low value = time-based layering / mule pass-through</w:t>
            </w:r>
          </w:p>
        </w:tc>
      </w:tr>
      <w:tr>
        <w:tc>
          <w:tcPr>
            <w:tcW w:type="dxa" w:w="2880"/>
          </w:tcPr>
          <w:p>
            <w:r>
              <w:t>reciprocal_ratio</w:t>
            </w:r>
          </w:p>
        </w:tc>
        <w:tc>
          <w:tcPr>
            <w:tcW w:type="dxa" w:w="2880"/>
          </w:tcPr>
          <w:p>
            <w:r>
              <w:t>Fraction of outgoing tx to counterparties that also send back</w:t>
            </w:r>
          </w:p>
        </w:tc>
        <w:tc>
          <w:tcPr>
            <w:tcW w:type="dxa" w:w="2880"/>
          </w:tcPr>
          <w:p>
            <w:r>
              <w:t>Round-tripping (layering indicator)</w:t>
            </w:r>
          </w:p>
        </w:tc>
      </w:tr>
      <w:tr>
        <w:tc>
          <w:tcPr>
            <w:tcW w:type="dxa" w:w="2880"/>
          </w:tcPr>
          <w:p>
            <w:r>
              <w:t>accounts_per_entity</w:t>
            </w:r>
          </w:p>
        </w:tc>
        <w:tc>
          <w:tcPr>
            <w:tcW w:type="dxa" w:w="2880"/>
          </w:tcPr>
          <w:p>
            <w:r>
              <w:t>Number of accounts controlled by the same customer entity</w:t>
            </w:r>
          </w:p>
        </w:tc>
        <w:tc>
          <w:tcPr>
            <w:tcW w:type="dxa" w:w="2880"/>
          </w:tcPr>
          <w:p>
            <w:r>
              <w:t>Multiple-account usage (mule networks); replaces unavailable KYC</w:t>
            </w:r>
          </w:p>
        </w:tc>
      </w:tr>
      <w:tr>
        <w:tc>
          <w:tcPr>
            <w:tcW w:type="dxa" w:w="2880"/>
          </w:tcPr>
          <w:p>
            <w:r>
              <w:t>same_entity_ratio</w:t>
            </w:r>
          </w:p>
        </w:tc>
        <w:tc>
          <w:tcPr>
            <w:tcW w:type="dxa" w:w="2880"/>
          </w:tcPr>
          <w:p>
            <w:r>
              <w:t>Fraction of outgoing tx to another account of the same owner</w:t>
            </w:r>
          </w:p>
        </w:tc>
        <w:tc>
          <w:tcPr>
            <w:tcW w:type="dxa" w:w="2880"/>
          </w:tcPr>
          <w:p>
            <w:r>
              <w:t>Self-dealing / structuring across own accounts</w:t>
            </w:r>
          </w:p>
        </w:tc>
      </w:tr>
    </w:tbl>
    <w:p>
      <w:pPr>
        <w:spacing w:after="120"/>
      </w:pPr>
    </w:p>
    <w:p>
      <w:pPr>
        <w:pStyle w:val="Heading2"/>
      </w:pPr>
      <w:r>
        <w:t>4.2  Design Decisions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Night hours defined as 23:00-06:00 (local), matching common AML typology thresholds.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near_threshold_count uses $8,000-$10,000 window (U.S. BSA CTR threshold).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rapid_transfer_ratio is clipped at 3 to prevent division-by-zero outliers.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Cross-bank detection uses the BankCode prefix of the IBM account ID format.</w:t>
      </w:r>
    </w:p>
    <w:p>
      <w:pPr>
        <w:pStyle w:val="Heading1"/>
        <w:pageBreakBefore/>
      </w:pPr>
      <w:r>
        <w:t>5. Rule-Based Detection Engine</w:t>
      </w:r>
    </w:p>
    <w:p>
      <w:pPr>
        <w:pStyle w:val="Heading2"/>
      </w:pPr>
      <w:r>
        <w:t>5.1  Overview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The rule engine implements ten deterministic checks derived from established AML typologies and MAS Notice 626 Appendix B. Each rule produces a binary flag (0 or 1). Rules serve as an explainability baseline and as features for the XGBoost model.</w:t>
      </w:r>
    </w:p>
    <w:p>
      <w:pPr>
        <w:pStyle w:val="Heading2"/>
      </w:pPr>
      <w:r>
        <w:t>5.2  Rule Definitions and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03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Trigger Condition</w:t>
            </w:r>
          </w:p>
        </w:tc>
        <w:tc>
          <w:tcPr>
            <w:tcW w:type="dxa" w:w="2304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59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Typology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Large transaction</w:t>
            </w:r>
          </w:p>
        </w:tc>
        <w:tc>
          <w:tcPr>
            <w:tcW w:type="dxa" w:w="403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Any single outgoing amount &gt;= threshold</w:t>
            </w:r>
          </w:p>
        </w:tc>
        <w:tc>
          <w:tcPr>
            <w:tcW w:type="dxa" w:w="2304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$10,000 (USD-equivalent)</w:t>
            </w:r>
          </w:p>
        </w:tc>
        <w:tc>
          <w:tcPr>
            <w:tcW w:type="dxa" w:w="259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Reportable transaction / CTR avoidance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Near-threshold structuring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Count of transactions in [$8K, $10K) &gt;= min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3 or more transactions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Structuring (smurfing)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Rapid movement</w:t>
            </w:r>
          </w:p>
        </w:tc>
        <w:tc>
          <w:tcPr>
            <w:tcW w:type="dxa" w:w="403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rapid_transfer_ratio &gt;= 0.8 AND total_in &gt;= $5K AND total_out &gt;= $5K</w:t>
            </w:r>
          </w:p>
        </w:tc>
        <w:tc>
          <w:tcPr>
            <w:tcW w:type="dxa" w:w="2304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0.8 ratio, $5,000 min</w:t>
            </w:r>
          </w:p>
        </w:tc>
        <w:tc>
          <w:tcPr>
            <w:tcW w:type="dxa" w:w="259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Layering / pass-through mule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Cash-intensive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cash_ratio &gt;= 0.40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40% cash threshold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Cash placement phase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Currency mismatch</w:t>
            </w:r>
          </w:p>
        </w:tc>
        <w:tc>
          <w:tcPr>
            <w:tcW w:type="dxa" w:w="403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currency_mismatch_ratio &gt;= 0.05</w:t>
            </w:r>
          </w:p>
        </w:tc>
        <w:tc>
          <w:tcPr>
            <w:tcW w:type="dxa" w:w="2304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5% mismatch threshold</w:t>
            </w:r>
          </w:p>
        </w:tc>
        <w:tc>
          <w:tcPr>
            <w:tcW w:type="dxa" w:w="259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Currency conversion / obfuscation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Virtual-asset exposure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Any transaction settled in cryptocurrency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crypto_ratio &gt; 0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FATF VA red flag / MAS PSN02</w:t>
            </w:r>
          </w:p>
        </w:tc>
      </w:tr>
      <w:tr>
        <w:tc>
          <w:tcPr>
            <w:tcW w:type="dxa" w:w="2160"/>
          </w:tcPr>
          <w:p>
            <w:r>
              <w:t>Fan-in aggregation</w:t>
            </w:r>
          </w:p>
        </w:tc>
        <w:tc>
          <w:tcPr>
            <w:tcW w:type="dxa" w:w="2160"/>
          </w:tcPr>
          <w:p>
            <w:r>
              <w:t>unique_senders &gt;= min</w:t>
            </w:r>
          </w:p>
        </w:tc>
        <w:tc>
          <w:tcPr>
            <w:tcW w:type="dxa" w:w="2160"/>
          </w:tcPr>
          <w:p>
            <w:r>
              <w:t>5 senders</w:t>
            </w:r>
          </w:p>
        </w:tc>
        <w:tc>
          <w:tcPr>
            <w:tcW w:type="dxa" w:w="2160"/>
          </w:tcPr>
          <w:p>
            <w:r>
              <w:t>Mule collection (multiple-account usage)</w:t>
            </w:r>
          </w:p>
        </w:tc>
      </w:tr>
      <w:tr>
        <w:tc>
          <w:tcPr>
            <w:tcW w:type="dxa" w:w="2160"/>
          </w:tcPr>
          <w:p>
            <w:r>
              <w:t>Fan-out distribution</w:t>
            </w:r>
          </w:p>
        </w:tc>
        <w:tc>
          <w:tcPr>
            <w:tcW w:type="dxa" w:w="2160"/>
          </w:tcPr>
          <w:p>
            <w:r>
              <w:t>unique_receivers &gt;= min</w:t>
            </w:r>
          </w:p>
        </w:tc>
        <w:tc>
          <w:tcPr>
            <w:tcW w:type="dxa" w:w="2160"/>
          </w:tcPr>
          <w:p>
            <w:r>
              <w:t>5 receivers</w:t>
            </w:r>
          </w:p>
        </w:tc>
        <w:tc>
          <w:tcPr>
            <w:tcW w:type="dxa" w:w="2160"/>
          </w:tcPr>
          <w:p>
            <w:r>
              <w:t>Mule disbursement / layering</w:t>
            </w:r>
          </w:p>
        </w:tc>
      </w:tr>
      <w:tr>
        <w:tc>
          <w:tcPr>
            <w:tcW w:type="dxa" w:w="2160"/>
          </w:tcPr>
          <w:p>
            <w:r>
              <w:t>Rapid pass-through</w:t>
            </w:r>
          </w:p>
        </w:tc>
        <w:tc>
          <w:tcPr>
            <w:tcW w:type="dxa" w:w="2160"/>
          </w:tcPr>
          <w:p>
            <w:r>
              <w:t>passthrough_min_hours &lt;= max AND &gt;= $5K each side</w:t>
            </w:r>
          </w:p>
        </w:tc>
        <w:tc>
          <w:tcPr>
            <w:tcW w:type="dxa" w:w="2160"/>
          </w:tcPr>
          <w:p>
            <w:r>
              <w:t>24 hours, $5,000 min</w:t>
            </w:r>
          </w:p>
        </w:tc>
        <w:tc>
          <w:tcPr>
            <w:tcW w:type="dxa" w:w="2160"/>
          </w:tcPr>
          <w:p>
            <w:r>
              <w:t>Time-based layering</w:t>
            </w:r>
          </w:p>
        </w:tc>
      </w:tr>
      <w:tr>
        <w:tc>
          <w:tcPr>
            <w:tcW w:type="dxa" w:w="2160"/>
          </w:tcPr>
          <w:p>
            <w:r>
              <w:t>Sudden activity spike</w:t>
            </w:r>
          </w:p>
        </w:tc>
        <w:tc>
          <w:tcPr>
            <w:tcW w:type="dxa" w:w="2160"/>
          </w:tcPr>
          <w:p>
            <w:r>
              <w:t>velocity_spike &gt;= min AND total_out &gt;= $5K</w:t>
            </w:r>
          </w:p>
        </w:tc>
        <w:tc>
          <w:tcPr>
            <w:tcW w:type="dxa" w:w="2160"/>
          </w:tcPr>
          <w:p>
            <w:r>
              <w:t>3.0x daily mean</w:t>
            </w:r>
          </w:p>
        </w:tc>
        <w:tc>
          <w:tcPr>
            <w:tcW w:type="dxa" w:w="2160"/>
          </w:tcPr>
          <w:p>
            <w:r>
              <w:t>Unexplained change in activity</w:t>
            </w:r>
          </w:p>
        </w:tc>
      </w:tr>
    </w:tbl>
    <w:p>
      <w:pPr>
        <w:spacing w:after="120"/>
      </w:pPr>
    </w:p>
    <w:p>
      <w:pPr>
        <w:pStyle w:val="Heading2"/>
      </w:pPr>
      <w:r>
        <w:t>5.3  Scoring Formula</w:t>
      </w:r>
    </w:p>
    <w:p>
      <w:pPr>
        <w:spacing w:after="120" w:before="40"/>
        <w:ind w:left="360"/>
        <w:jc w:val="left"/>
      </w:pPr>
      <w:r>
        <w:rPr>
          <w:b/>
          <w:i w:val="0"/>
          <w:color w:val="444444"/>
          <w:sz w:val="22"/>
        </w:rPr>
        <w:t xml:space="preserve">    rule_score = (rule_hits / 5) x 100, clipped to [0, 100]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Where rule_hits is the count of rules triggered (0-10) and the denominator is fixed at 5. This decouples the score scale from the total number of rules, so adding future rules does not compress historical scores.</w:t>
      </w:r>
    </w:p>
    <w:p>
      <w:pPr>
        <w:pStyle w:val="Heading2"/>
      </w:pPr>
      <w:r>
        <w:t>5.4  Why Rules Are Retained Alongside ML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Regulatory explainability: MAS Notice 626 requires documented, auditable triggers.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Feature signals: rule flags and rule_hits are fed into XGBoost as structured signals.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Cold-start coverage: rules fire on every account regardless of training data volume.</w:t>
      </w:r>
    </w:p>
    <w:p>
      <w:pPr>
        <w:pStyle w:val="Heading1"/>
        <w:pageBreakBefore/>
      </w:pPr>
      <w:r>
        <w:t>6. Leiden Community Detection</w:t>
      </w:r>
    </w:p>
    <w:p>
      <w:pPr>
        <w:pStyle w:val="Heading2"/>
      </w:pPr>
      <w:r>
        <w:t>6.1  Motivation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Money laundering is inherently a network phenomenon: funds move through coordinated chains of accounts (mule networks, shell corporations, fan-in/fan-out rings). Account-level features alone cannot capture whether an individually unremarkable account belongs to a densely connected suspicious cluster. Community detection on the transaction graph addresses this gap.</w:t>
      </w:r>
    </w:p>
    <w:p>
      <w:pPr>
        <w:pStyle w:val="Heading2"/>
      </w:pPr>
      <w:r>
        <w:t>6.2  Why Leiden over Louvain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Leiden (Traag, Waltman &amp; van Eck, 2019) was selected over its predecessor Louvain (Blondel et al., 2008) for three reasons: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Connectivity guarantee: Louvain can produce internally disconnected communities — a node is placed in a cluster despite having no direct path to most of its members. This is a known bug that produces misleading cluster membership for AML features. Leiden adds a refinement phase after each merge step that splits any disconnected subsets, guaranteeing all communities are internally connected.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Better convergence: Leiden reaches a stable partition in fewer iterations by refining communities locally before the aggregation step, reducing non-determinism.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Empirical improvement: replacing Louvain with Leiden produced cleaner, better-connected community features flowing into XGBoost, improving community detection quality and the overall AUC-PR.</w:t>
      </w:r>
    </w:p>
    <w:p>
      <w:pPr>
        <w:pStyle w:val="Heading2"/>
      </w:pPr>
      <w:r>
        <w:t>6.3  Algorithm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Leiden optimises the same modularity objective as Louvain but with a guaranteed-connected refinement phase. The implementation uses RBConfigurationVertexPartition (Reichardt-Bornholdt with configuration-model null), which supports a resolution parameter with the same qualitative effect as Louvain's resolution:</w:t>
      </w:r>
    </w:p>
    <w:p>
      <w:pPr>
        <w:spacing w:after="120" w:before="40"/>
        <w:ind w:left="360"/>
        <w:jc w:val="left"/>
      </w:pPr>
      <w:r>
        <w:rPr>
          <w:b/>
          <w:i w:val="0"/>
          <w:color w:val="444444"/>
          <w:sz w:val="22"/>
        </w:rPr>
        <w:t xml:space="preserve">    Q_RB = sum_ij [ A_ij - gamma * k_i * k_j / (2m) ] * delta(c_i, c_j)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Where gamma is the resolution parameter, k_i is the degree of node i, m is total edge weight, and delta(c_i, c_j) = 1 if nodes share a community. Higher gamma produces smaller, denser communities.</w:t>
      </w:r>
    </w:p>
    <w:p>
      <w:pPr>
        <w:pStyle w:val="Heading2"/>
      </w:pPr>
      <w:r>
        <w:t>6.4  Graph Construction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Nodes: all unique sender and receiver account IDs.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Edges: aggregated sender-receiver pairs; total_amount used as edge weight.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Edge filter: edges with total_amount &lt; $1,000 pruned (min_edge_amount = 1,000).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Undirected graph G_und used for Leiden (directed graph built first for other uses).</w:t>
      </w:r>
    </w:p>
    <w:p>
      <w:pPr>
        <w:pStyle w:val="Heading2"/>
      </w:pPr>
      <w:r>
        <w:t>6.5  Main Leiden (XGBoost Feature Generation)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59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leiden_resolution</w:t>
            </w:r>
          </w:p>
        </w:tc>
        <w:tc>
          <w:tcPr>
            <w:tcW w:type="dxa" w:w="259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1.5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Higher than default (1.0) — produces smaller, tighter communities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random_seed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42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Reproducibility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min_edge_amount</w:t>
            </w:r>
          </w:p>
        </w:tc>
        <w:tc>
          <w:tcPr>
            <w:tcW w:type="dxa" w:w="259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$1,000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Filters noise edges; focuses on material financial flows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n_iterations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-1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Run until convergence (no fixed iteration cap)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Communities detected</w:t>
            </w:r>
          </w:p>
        </w:tc>
        <w:tc>
          <w:tcPr>
            <w:tcW w:type="dxa" w:w="259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69,878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Median cluster size = 2; largest cluster reduced vs Louvain</w:t>
            </w:r>
          </w:p>
        </w:tc>
      </w:tr>
    </w:tbl>
    <w:p>
      <w:pPr>
        <w:spacing w:after="120"/>
      </w:pPr>
    </w:p>
    <w:p>
      <w:pPr>
        <w:pStyle w:val="Heading2"/>
      </w:pPr>
      <w:r>
        <w:t>6.6  Focused Leiden (Visualisation Only)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A second Leiden pass runs post-XGBoost, seeded only from flagged accounts and their direct transaction partners. The focused subgraph is k-core filtered (k=2) before Leiden is applied: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75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focused_leiden_resolution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2.0</w:t>
            </w:r>
          </w:p>
        </w:tc>
        <w:tc>
          <w:tcPr>
            <w:tcW w:type="dxa" w:w="475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Higher resolution = smaller, denser communities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kcore_k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Keep only accounts with &gt;= 2 connections (removes pendants)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Seed strategy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XGBoost-flagged OR rule-flagged + 1-hop neighbours</w:t>
            </w:r>
          </w:p>
        </w:tc>
        <w:tc>
          <w:tcPr>
            <w:tcW w:type="dxa" w:w="475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Focuses on confirmed-suspicious subgraph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Self-loops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Removed before k-core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k_core forbids self-loops</w:t>
            </w:r>
          </w:p>
        </w:tc>
      </w:tr>
    </w:tbl>
    <w:p>
      <w:pPr>
        <w:spacing w:after="120"/>
      </w:pPr>
    </w:p>
    <w:p>
      <w:pPr>
        <w:pStyle w:val="Heading2"/>
      </w:pPr>
      <w:r>
        <w:t>6.7  Community Features for XGBoost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75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Leakage Risk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cluster_size</w:t>
            </w:r>
          </w:p>
        </w:tc>
        <w:tc>
          <w:tcPr>
            <w:tcW w:type="dxa" w:w="475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Number of accounts in the same Leiden community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None — structural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cluster_internal_tx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Count of transactions between cluster members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None — structural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cluster_amount_per_acct</w:t>
            </w:r>
          </w:p>
        </w:tc>
        <w:tc>
          <w:tcPr>
            <w:tcW w:type="dxa" w:w="475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Total internal volume / cluster size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None — structural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cluster_suspicious_density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Fraction of cluster members known suspicious (TRAIN only)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Mitigated — train labels only</w:t>
            </w:r>
          </w:p>
        </w:tc>
      </w:tr>
    </w:tbl>
    <w:p>
      <w:pPr>
        <w:spacing w:after="120"/>
      </w:pPr>
    </w:p>
    <w:p>
      <w:pPr>
        <w:pStyle w:val="Heading2"/>
      </w:pPr>
      <w:r>
        <w:t>6.8  Community Score Formula</w:t>
      </w:r>
    </w:p>
    <w:p>
      <w:pPr>
        <w:spacing w:after="120" w:before="40"/>
        <w:ind w:left="360"/>
        <w:jc w:val="left"/>
      </w:pPr>
      <w:r>
        <w:rPr>
          <w:b/>
          <w:i w:val="0"/>
          <w:color w:val="444444"/>
          <w:sz w:val="22"/>
        </w:rPr>
        <w:t xml:space="preserve">    community_score = 100 * (0.40 * norm(suspicious_density) + 0.35 * norm(log(cluster_size)) + 0.25 * norm(cluster_internal_tx))</w:t>
      </w:r>
    </w:p>
    <w:p>
      <w:pPr>
        <w:pStyle w:val="Heading2"/>
      </w:pPr>
      <w:r>
        <w:t>6.9  Leiden vs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Algorithm</w:t>
            </w:r>
          </w:p>
        </w:tc>
        <w:tc>
          <w:tcPr>
            <w:tcW w:type="dxa" w:w="691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Reason Not Selected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Louvain</w:t>
            </w:r>
          </w:p>
        </w:tc>
        <w:tc>
          <w:tcPr>
            <w:tcW w:type="dxa" w:w="691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Predecessor to Leiden; produces internally disconnected communities; superseded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Label Propagation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Non-deterministic; different runs produce different communities; hard to audit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Spectral Clustering</w:t>
            </w:r>
          </w:p>
        </w:tc>
        <w:tc>
          <w:tcPr>
            <w:tcW w:type="dxa" w:w="691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O(n^3) eigendecomposition — infeasible for 234K nodes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DBSCAN on embeddings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Requires embedding step (added complexity); no native edge-weight handling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K-Means on features</w:t>
            </w:r>
          </w:p>
        </w:tc>
        <w:tc>
          <w:tcPr>
            <w:tcW w:type="dxa" w:w="691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Ignores graph topology entirely; misses the coordinated-network signal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GNN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Higher accuracy potential but opaque embeddings conflict with MAS FEAT transparency; significant implementation overhead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Leiden (selected)</w:t>
            </w:r>
          </w:p>
        </w:tc>
        <w:tc>
          <w:tcPr>
            <w:tcW w:type="dxa" w:w="691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O(n log n); edge-weighted; resolution parameter; guaranteed connected communities; validated on financial networks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>7. XGBoost Supervised Classifier</w:t>
      </w:r>
    </w:p>
    <w:p>
      <w:pPr>
        <w:pStyle w:val="Heading2"/>
      </w:pPr>
      <w:r>
        <w:t>7.1  Model Selection Rationale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XGBoost (Extreme Gradient Boosting, Chen &amp; Guestrin, 2016) builds an ensemble of decision trees sequentially, where each new tree corrects the residual errors of the previous ensemble. The objective minimised is:</w:t>
      </w:r>
    </w:p>
    <w:p>
      <w:pPr>
        <w:spacing w:after="120" w:before="40"/>
        <w:ind w:left="360"/>
        <w:jc w:val="left"/>
      </w:pPr>
      <w:r>
        <w:rPr>
          <w:b/>
          <w:i w:val="0"/>
          <w:color w:val="444444"/>
          <w:sz w:val="22"/>
        </w:rPr>
        <w:t xml:space="preserve">    L = sum_i l(y_i, y_hat_i) + sum_k Omega(f_k)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Where l is binary cross-entropy and Omega(f_k) = gamma*T + 0.5*lambda*||w||^2 is the regularisation term penalising tree complexity.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Alternative</w:t>
            </w:r>
          </w:p>
        </w:tc>
        <w:tc>
          <w:tcPr>
            <w:tcW w:type="dxa" w:w="691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 XGBoost Was Preferred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Logistic Regression</w:t>
            </w:r>
          </w:p>
        </w:tc>
        <w:tc>
          <w:tcPr>
            <w:tcW w:type="dxa" w:w="691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Cannot capture non-linear interactions between features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Random Forest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No built-in class imbalance handling; lower performance on tabular data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Isolation Forest</w:t>
            </w:r>
          </w:p>
        </w:tc>
        <w:tc>
          <w:tcPr>
            <w:tcW w:type="dxa" w:w="691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Unsupervised — ignores available ground-truth labels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Neural Network (MLP)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Requires large datasets; no native SHAP TreeExplainer support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SVM</w:t>
            </w:r>
          </w:p>
        </w:tc>
        <w:tc>
          <w:tcPr>
            <w:tcW w:type="dxa" w:w="691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Does not scale to 234K accounts; no probability calibration without Platt scaling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GNN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Opaque embeddings conflict with MAS FEAT transparency requirements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XGBoost (selected)</w:t>
            </w:r>
          </w:p>
        </w:tc>
        <w:tc>
          <w:tcPr>
            <w:tcW w:type="dxa" w:w="691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Handles class imbalance via scale_pos_weight; probability outputs (uncalibrated — calibration noted as future work in §13.2); exact TreeSHAP; robust on tabular data</w:t>
            </w:r>
          </w:p>
        </w:tc>
      </w:tr>
    </w:tbl>
    <w:p>
      <w:pPr>
        <w:spacing w:after="120"/>
      </w:pPr>
    </w:p>
    <w:p>
      <w:pPr>
        <w:pStyle w:val="Heading2"/>
      </w:pPr>
      <w:r>
        <w:t>7.2  Input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691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Behavioural (volume)</w:t>
            </w:r>
          </w:p>
        </w:tc>
        <w:tc>
          <w:tcPr>
            <w:tcW w:type="dxa" w:w="691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transaction_count, total_outgoing, average_outgoing, max_outgoing, unique_receivers, night_ratio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Behavioural (inflow)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incoming_count, total_incoming, unique_senders, incoming_outgoing_ratio, near_threshold_count, rapid_transfer_ratio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IBM-specific signals</w:t>
            </w:r>
          </w:p>
        </w:tc>
        <w:tc>
          <w:tcPr>
            <w:tcW w:type="dxa" w:w="691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cash_ratio, cross_bank_ratio, currency_mismatch_ratio, crypto_ratio, repeated_amount_ratio, velocity_spike, passthrough_min_hours, reciprocal_ratio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Rule signals (structural)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rule_hits, rule_large_tx, rule_structuring, rule_rapid_movement, rule_cash_intensive, rule_crypto_exposure, rule_fan_in, rule_fan_out, rule_rapid_passthrough, rule_velocity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Community structural</w:t>
            </w:r>
          </w:p>
        </w:tc>
        <w:tc>
          <w:tcPr>
            <w:tcW w:type="dxa" w:w="691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cluster_size, cluster_internal_tx, cluster_amount_per_acct</w:t>
            </w:r>
          </w:p>
        </w:tc>
      </w:tr>
      <w:tr>
        <w:tc>
          <w:tcPr>
            <w:tcW w:type="dxa" w:w="4320"/>
          </w:tcPr>
          <w:p>
            <w:r>
              <w:t>Entity (customer) linkage</w:t>
            </w:r>
          </w:p>
        </w:tc>
        <w:tc>
          <w:tcPr>
            <w:tcW w:type="dxa" w:w="4320"/>
          </w:tcPr>
          <w:p>
            <w:r>
              <w:t>accounts_per_entity, same_entity_ratio</w:t>
            </w:r>
          </w:p>
        </w:tc>
      </w:tr>
    </w:tbl>
    <w:p>
      <w:pPr>
        <w:spacing w:after="120"/>
      </w:pPr>
    </w:p>
    <w:p>
      <w:pPr>
        <w:pStyle w:val="Heading2"/>
      </w:pPr>
      <w:r>
        <w:t>7.3  Hyperparameters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72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576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 / Effect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n_estimators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300</w:t>
            </w:r>
          </w:p>
        </w:tc>
        <w:tc>
          <w:tcPr>
            <w:tcW w:type="dxa" w:w="57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Number of trees. 300 balances accuracy and speed for this dataset size.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max_depth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6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Maximum depth per tree. Depth 6 allows up to 64 leaf nodes.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learning_rate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0.05</w:t>
            </w:r>
          </w:p>
        </w:tc>
        <w:tc>
          <w:tcPr>
            <w:tcW w:type="dxa" w:w="57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Shrinkage factor. Lower rate generalises better but requires more trees.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subsample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0.8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Row subsampling per tree. Reduces variance.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colsample_bytree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0.8</w:t>
            </w:r>
          </w:p>
        </w:tc>
        <w:tc>
          <w:tcPr>
            <w:tcW w:type="dxa" w:w="57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Feature subsampling per tree. Prevents dominant-feature lock-in.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scale_pos_weight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~43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neg/pos = 229,230 / 5,304. Up-weights suspicious class to counter 43:1 imbalance.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eval_metric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aucpr</w:t>
            </w:r>
          </w:p>
        </w:tc>
        <w:tc>
          <w:tcPr>
            <w:tcW w:type="dxa" w:w="57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Training target is AUC-PR, appropriate for imbalanced classification.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random_state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42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Reproducibility seed.</w:t>
            </w:r>
          </w:p>
        </w:tc>
      </w:tr>
    </w:tbl>
    <w:p>
      <w:pPr>
        <w:spacing w:after="120"/>
      </w:pPr>
    </w:p>
    <w:p>
      <w:pPr>
        <w:pStyle w:val="Heading2"/>
      </w:pPr>
      <w:r>
        <w:t>7.4  Decision Threshold Optimisation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The default threshold of 0.5 is suboptimal for imbalanced problems. T is chosen to maximise F1 on the training set across a grid (0.05 to 0.95, step 0.025):</w:t>
      </w:r>
    </w:p>
    <w:p>
      <w:pPr>
        <w:spacing w:after="60"/>
      </w:pPr>
      <w:r>
        <w:rPr>
          <w:rFonts w:ascii="Calibri" w:hAnsi="Calibri"/>
          <w:b/>
          <w:color w:val="1A5276"/>
          <w:sz w:val="22"/>
        </w:rPr>
        <w:t>Optimised threshold: T = 0.825</w:t>
      </w:r>
      <w:r>
        <w:rPr>
          <w:rFonts w:ascii="Calibri" w:hAnsi="Calibri"/>
          <w:color w:val="444444"/>
          <w:sz w:val="22"/>
        </w:rPr>
      </w:r>
    </w:p>
    <w:p>
      <w:pPr>
        <w:spacing w:after="60"/>
      </w:pPr>
      <w:r>
        <w:rPr>
          <w:rFonts w:ascii="Calibri" w:hAnsi="Calibri"/>
          <w:b/>
          <w:color w:val="1A5276"/>
          <w:sz w:val="22"/>
        </w:rPr>
        <w:t xml:space="preserve">Effect: </w:t>
      </w:r>
      <w:r>
        <w:rPr>
          <w:rFonts w:ascii="Calibri" w:hAnsi="Calibri"/>
          <w:color w:val="444444"/>
          <w:sz w:val="22"/>
        </w:rPr>
        <w:t>Raises precision by requiring higher model confidence before flagging</w:t>
      </w:r>
    </w:p>
    <w:p>
      <w:pPr>
        <w:spacing w:after="60"/>
      </w:pPr>
      <w:r>
        <w:rPr>
          <w:rFonts w:ascii="Calibri" w:hAnsi="Calibri"/>
          <w:b/>
          <w:color w:val="1A5276"/>
          <w:sz w:val="22"/>
        </w:rPr>
        <w:t xml:space="preserve">Leakage prevention: </w:t>
      </w:r>
      <w:r>
        <w:rPr>
          <w:rFonts w:ascii="Calibri" w:hAnsi="Calibri"/>
          <w:color w:val="444444"/>
          <w:sz w:val="22"/>
        </w:rPr>
        <w:t>Threshold search conducted on training data only</w:t>
      </w:r>
    </w:p>
    <w:p>
      <w:pPr>
        <w:pStyle w:val="Heading2"/>
      </w:pPr>
      <w:r>
        <w:t>7.5  Output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72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Range</w:t>
            </w:r>
          </w:p>
        </w:tc>
        <w:tc>
          <w:tcPr>
            <w:tcW w:type="dxa" w:w="619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xgb_proba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[0.0, 1.0]</w:t>
            </w:r>
          </w:p>
        </w:tc>
        <w:tc>
          <w:tcPr>
            <w:tcW w:type="dxa" w:w="619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Raw probability P(suspicious). Used for threshold comparison and SHAP.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xgb_score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[0, 100]</w:t>
            </w:r>
          </w:p>
        </w:tc>
        <w:tc>
          <w:tcPr>
            <w:tcW w:type="dxa" w:w="619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xgb_proba * 100, equal scale with rule_score and community_score.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xgb_flag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{0, 1}</w:t>
            </w:r>
          </w:p>
        </w:tc>
        <w:tc>
          <w:tcPr>
            <w:tcW w:type="dxa" w:w="619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 if xgb_proba &gt;= 0.825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xgb_reason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Text</w:t>
            </w:r>
          </w:p>
        </w:tc>
        <w:tc>
          <w:tcPr>
            <w:tcW w:type="dxa" w:w="619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Top-3 SHAP feature names (by absolute value) per account.</w:t>
            </w:r>
          </w:p>
        </w:tc>
      </w:tr>
    </w:tbl>
    <w:p>
      <w:pPr>
        <w:spacing w:after="120"/>
      </w:pPr>
    </w:p>
    <w:p>
      <w:pPr>
        <w:pStyle w:val="Heading2"/>
      </w:pPr>
      <w:r>
        <w:t>7.6 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547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AUC-ROC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0.8555</w:t>
            </w:r>
          </w:p>
        </w:tc>
        <w:tc>
          <w:tcPr>
            <w:tcW w:type="dxa" w:w="54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Model discriminates suspicious vs legitimate 85.6% of the time.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AUC-PR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0.1864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8.3x above the random baseline (0.0226).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Precision @ T=0.825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22.1%</w:t>
            </w:r>
          </w:p>
        </w:tc>
        <w:tc>
          <w:tcPr>
            <w:tcW w:type="dxa" w:w="54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Of 1,992 flagged accounts, 441 are genuinely suspicious.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Recall @ T=0.825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27.7%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Of ~1,591 suspicious test accounts, 441 are caught.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F1 @ T=0.825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24.6%</w:t>
            </w:r>
          </w:p>
        </w:tc>
        <w:tc>
          <w:tcPr>
            <w:tcW w:type="dxa" w:w="54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Strong single-method F1.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Alert volume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1,992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87% fewer alerts than rules-only (14,800).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>8. SHAP Explainability</w:t>
      </w:r>
    </w:p>
    <w:p>
      <w:pPr>
        <w:pStyle w:val="Heading2"/>
      </w:pPr>
      <w:r>
        <w:t>8.1  Method: TreeSHAP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SHAP (SHapley Additive exPlanations, Lundberg &amp; Lee, 2017) provides theoretically grounded feature importance values rooted in cooperative game theory. The implementation uses TreeExplainer (TreeSHAP), an exact polynomial-time algorithm for tree ensembles, feasible for all 234,534 accounts.</w:t>
      </w:r>
    </w:p>
    <w:p>
      <w:pPr>
        <w:pStyle w:val="Heading2"/>
      </w:pPr>
      <w:r>
        <w:t>8.2  SHAP Properties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Local accuracy: SHAP values sum to the difference between model prediction and base rate.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Missingness: features that do not affect the prediction receive SHAP value = 0.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Consistency: if a feature becomes more predictive, its SHAP value never decreases.</w:t>
      </w:r>
    </w:p>
    <w:p>
      <w:pPr>
        <w:pStyle w:val="Heading2"/>
      </w:pPr>
      <w:r>
        <w:t>8.3  Per-Account SHAP Drivers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For each account, the top-3 features by absolute SHAP value are stored as xgb_reason, surfacing directly in the analyst's case review interface:</w:t>
      </w:r>
    </w:p>
    <w:p>
      <w:pPr>
        <w:spacing w:after="120" w:before="40"/>
        <w:ind w:left="360"/>
        <w:jc w:val="left"/>
      </w:pPr>
      <w:r>
        <w:rPr>
          <w:b w:val="0"/>
          <w:i/>
          <w:color w:val="0E6E73"/>
          <w:sz w:val="22"/>
        </w:rPr>
        <w:t xml:space="preserve">    "XGBoost P(suspicious)=0.91 — top drivers: cash_ratio, rapid_transfer_ratio, cluster_size"</w:t>
      </w:r>
    </w:p>
    <w:p>
      <w:pPr>
        <w:pStyle w:val="Heading2"/>
      </w:pPr>
      <w:r>
        <w:t>8.4  Regulatory Alignment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Account-level: each alert includes the specific features driving the risk score (xgb_reason).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Portfolio-level: shap_values.csv allows the compliance team to audit which features dominate model decisions across the entire portfolio.</w:t>
      </w:r>
    </w:p>
    <w:p>
      <w:pPr>
        <w:pStyle w:val="Heading1"/>
        <w:pageBreakBefore/>
      </w:pPr>
      <w:r>
        <w:t>9. Combined Risk Scoring</w:t>
      </w:r>
    </w:p>
    <w:p>
      <w:pPr>
        <w:pStyle w:val="Heading2"/>
      </w:pPr>
      <w:r>
        <w:t>9.1  Weighted Ensemble Formula</w:t>
      </w:r>
    </w:p>
    <w:p>
      <w:pPr>
        <w:spacing w:after="120" w:before="40"/>
        <w:ind w:left="360"/>
        <w:jc w:val="left"/>
      </w:pPr>
      <w:r>
        <w:rPr>
          <w:b/>
          <w:i w:val="0"/>
          <w:color w:val="444444"/>
          <w:sz w:val="22"/>
        </w:rPr>
        <w:t xml:space="preserve">    risk_score = 0.50 * xgb_score + 0.25 * community_score + 0.25 * rule_score</w:t>
      </w:r>
    </w:p>
    <w:p>
      <w:pPr>
        <w:pStyle w:val="Heading2"/>
      </w:pPr>
      <w:r>
        <w:t>9.2  Weight Justification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15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576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XGBoost</w:t>
            </w:r>
          </w:p>
        </w:tc>
        <w:tc>
          <w:tcPr>
            <w:tcW w:type="dxa" w:w="115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50%</w:t>
            </w:r>
          </w:p>
        </w:tc>
        <w:tc>
          <w:tcPr>
            <w:tcW w:type="dxa" w:w="57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High precision (22.1%) and AUC-ROC (0.86). Directly optimised for the classification task.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Community (Leiden)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25%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Captures network-level risk invisible to single-account models. F1 = 17.2%, recall = 29.7%.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Rule engine</w:t>
            </w:r>
          </w:p>
        </w:tc>
        <w:tc>
          <w:tcPr>
            <w:tcW w:type="dxa" w:w="115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25%</w:t>
            </w:r>
          </w:p>
        </w:tc>
        <w:tc>
          <w:tcPr>
            <w:tcW w:type="dxa" w:w="57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Regulatory anchor and cold-start coverage. Low standalone precision but ensures auditable component.</w:t>
            </w:r>
          </w:p>
        </w:tc>
      </w:tr>
    </w:tbl>
    <w:p>
      <w:pPr>
        <w:spacing w:after="120"/>
      </w:pPr>
    </w:p>
    <w:p>
      <w:pPr>
        <w:pStyle w:val="Heading2"/>
      </w:pPr>
      <w:r>
        <w:t>9.3  Risk Categorisation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59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risk_score Range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combined_flag</w:t>
            </w:r>
          </w:p>
        </w:tc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Low</w:t>
            </w:r>
          </w:p>
        </w:tc>
        <w:tc>
          <w:tcPr>
            <w:tcW w:type="dxa" w:w="259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 – 30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No alert; account passes monitoring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31 – 50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Watchlist; reviewed in batch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type="dxa" w:w="259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51 – 100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</w:t>
            </w:r>
          </w:p>
        </w:tc>
        <w:tc>
          <w:tcPr>
            <w:tcW w:type="dxa" w:w="316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Immediate alert; assigned to analyst queue</w:t>
            </w:r>
          </w:p>
        </w:tc>
      </w:tr>
    </w:tbl>
    <w:p>
      <w:pPr>
        <w:spacing w:after="120"/>
      </w:pPr>
    </w:p>
    <w:p>
      <w:pPr>
        <w:pStyle w:val="Heading2"/>
      </w:pPr>
      <w:r>
        <w:t>9.4  Combined System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Rules Only</w:t>
            </w:r>
          </w:p>
        </w:tc>
        <w:tc>
          <w:tcPr>
            <w:tcW w:type="dxa" w:w="172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XGBoost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Community (Leiden)</w:t>
            </w:r>
          </w:p>
        </w:tc>
        <w:tc>
          <w:tcPr>
            <w:tcW w:type="dxa" w:w="1584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Combined AI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Alerts generated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14,800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1,992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3,926</w:t>
            </w:r>
          </w:p>
        </w:tc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1,172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True positives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341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441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473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373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Precision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2.3%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22.1%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12.0%</w:t>
            </w:r>
          </w:p>
        </w:tc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31.8%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Recall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21.4%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27.7%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29.7%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23.4%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F1 score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4.2%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24.6%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17.2%</w:t>
            </w:r>
          </w:p>
        </w:tc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27.0%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Workload vs rules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-87%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-73%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-92%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>10. Output Results and Interpretation</w:t>
      </w:r>
    </w:p>
    <w:p>
      <w:pPr>
        <w:pStyle w:val="Heading2"/>
      </w:pPr>
      <w:r>
        <w:t>10.1  Evaluation Methodology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All metrics are computed on the held-out test set (30% of total accounts, stratified by label). The training set (70%) was used for XGBoost training, threshold optimisation, and suspicious density computation. The Leiden partition is computed over the full transaction graph (train and test accounts together), but cluster_suspicious_density uses train-set labels only, so no test labels enter feature construction.</w:t>
      </w:r>
    </w:p>
    <w:p>
      <w:pPr>
        <w:pStyle w:val="Heading2"/>
      </w:pPr>
      <w:r>
        <w:t>10.2  Metrics Explained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460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Interpretation in AML Context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Precision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TP / (TP + FP)</w:t>
            </w:r>
          </w:p>
        </w:tc>
        <w:tc>
          <w:tcPr>
            <w:tcW w:type="dxa" w:w="460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Of all flagged accounts, what fraction are genuinely suspicious? Higher = fewer wasted analyst hours.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Recall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TP / (TP + FN)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Of all suspicious accounts, what fraction did the system catch? Higher = fewer missed SARs.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F1 Score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 * P * R / (P + R)</w:t>
            </w:r>
          </w:p>
        </w:tc>
        <w:tc>
          <w:tcPr>
            <w:tcW w:type="dxa" w:w="460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Harmonic mean. Primary optimisation target.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AUC-ROC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Area under ROC curve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0.5 = random; 1.0 = perfect. Measures ranking ability.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AUC-PR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Area under PR curve</w:t>
            </w:r>
          </w:p>
        </w:tc>
        <w:tc>
          <w:tcPr>
            <w:tcW w:type="dxa" w:w="460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More informative than AUC-ROC for imbalanced data. Random baseline = 0.0226.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Precision@K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TP in top-K / K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If analysts review top-K accounts, how many are genuine cases?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Workload reduction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1 - (AI alerts / rule alerts)</w:t>
            </w:r>
          </w:p>
        </w:tc>
        <w:tc>
          <w:tcPr>
            <w:tcW w:type="dxa" w:w="460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Fraction of alerts eliminated vs rules-only.</w:t>
            </w:r>
          </w:p>
        </w:tc>
      </w:tr>
    </w:tbl>
    <w:p>
      <w:pPr>
        <w:spacing w:after="120"/>
      </w:pPr>
    </w:p>
    <w:p>
      <w:pPr>
        <w:pStyle w:val="Heading2"/>
      </w:pPr>
      <w:r>
        <w:t>10.3  Alert Output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account_id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String</w:t>
            </w:r>
          </w:p>
        </w:tc>
        <w:tc>
          <w:tcPr>
            <w:tcW w:type="dxa" w:w="54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Unique account identifier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risk_score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Float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Combined weighted risk score (0-100)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risk_category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Enum</w:t>
            </w:r>
          </w:p>
        </w:tc>
        <w:tc>
          <w:tcPr>
            <w:tcW w:type="dxa" w:w="54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Low / Medium / High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combined_flag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Binary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 = alert generated (risk_score &gt;= 50)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priority_rank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Integer</w:t>
            </w:r>
          </w:p>
        </w:tc>
        <w:tc>
          <w:tcPr>
            <w:tcW w:type="dxa" w:w="54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Rank by risk_score descending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xgb_proba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Float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Raw XGBoost probability P(suspicious)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xgb_reason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Text</w:t>
            </w:r>
          </w:p>
        </w:tc>
        <w:tc>
          <w:tcPr>
            <w:tcW w:type="dxa" w:w="54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Top-3 SHAP feature names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community_score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Float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Leiden community risk score (0-100)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community_reason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Text</w:t>
            </w:r>
          </w:p>
        </w:tc>
        <w:tc>
          <w:tcPr>
            <w:tcW w:type="dxa" w:w="54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Text describing cluster characteristics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rule_score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Float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Rule-based risk score (0-100)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rule_reason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Text</w:t>
            </w:r>
          </w:p>
        </w:tc>
        <w:tc>
          <w:tcPr>
            <w:tcW w:type="dxa" w:w="54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Triggered rule names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cluster_id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Integer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Leiden community ID (main partition)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focused_cluster_id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Integer</w:t>
            </w:r>
          </w:p>
        </w:tc>
        <w:tc>
          <w:tcPr>
            <w:tcW w:type="dxa" w:w="54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Focused Leiden community ID (visualisation)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explanation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Text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Full combined explanation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>11. Network Visualisation</w:t>
      </w:r>
    </w:p>
    <w:p>
      <w:pPr>
        <w:pStyle w:val="Heading2"/>
      </w:pPr>
      <w:r>
        <w:t>11.1  Purpose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The Leiden community explorer tab visualises the transaction graph for the focused suspicious subgraph, revealing coordinated account clusters not apparent in tabular data.</w:t>
      </w:r>
    </w:p>
    <w:p>
      <w:pPr>
        <w:pStyle w:val="Heading2"/>
      </w:pPr>
      <w:r>
        <w:t>11.2  Technical Implementation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Graph library: Cytoscape.js 3.28.1 with fCoSE layout plugin for force-directed placement.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Backend: NetworkX 3.6.1 (graph operations) + igraph 1.0.0 / leidenalg 0.12.0 (community detection).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Node colour: red gradient from low (light) to high (dark) based on xgb_proba.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Edge colour: temporal encoding — navy (#1a5276) for recent edges, slate (#94a3b8) for older (180+ days).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Two layout modes: Force-directed (cluster view, top-60 by in-cluster degree) and Ego-network (concentric rings by hop distance from highest-risk account).</w:t>
      </w:r>
    </w:p>
    <w:p>
      <w:pPr>
        <w:pStyle w:val="Heading2"/>
      </w:pPr>
      <w:r>
        <w:t>11.3  Cluster Quality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648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Modularity Q</w:t>
            </w:r>
          </w:p>
        </w:tc>
        <w:tc>
          <w:tcPr>
            <w:tcW w:type="dxa" w:w="64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Q &gt; 0.3 = meaningful structure. Leiden guarantees connected communities.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Focused communities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51 tight suspicious clusters from post-XGBoost focused Leiden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Median cluster size</w:t>
            </w:r>
          </w:p>
        </w:tc>
        <w:tc>
          <w:tcPr>
            <w:tcW w:type="dxa" w:w="64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15 accounts — operationally actionable as a unit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Largest cluster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82 accounts — within normal range for a suspicious ring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Mean suspicious density</w:t>
            </w:r>
          </w:p>
        </w:tc>
        <w:tc>
          <w:tcPr>
            <w:tcW w:type="dxa" w:w="64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38.7% of focused cluster members are known suspicious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Co-occurrence rate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97% of focused-subgraph suspicious accounts share a cluster with another (measured on the flagged-seeded subgraph, so partly by construction)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>12. Regulatory Alignment</w:t>
      </w:r>
    </w:p>
    <w:p>
      <w:pPr>
        <w:pStyle w:val="Heading2"/>
      </w:pPr>
      <w:r>
        <w:t>12.1  MAS Notice 626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Notice 626 Requirement</w:t>
            </w:r>
          </w:p>
        </w:tc>
        <w:tc>
          <w:tcPr>
            <w:tcW w:type="dxa" w:w="604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System Feature Supporting Compliance</w:t>
            </w:r>
          </w:p>
        </w:tc>
      </w:tr>
      <w:tr>
        <w:tc>
          <w:tcPr>
            <w:tcW w:type="dxa" w:w="403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Transaction monitoring programme</w:t>
            </w:r>
          </w:p>
        </w:tc>
        <w:tc>
          <w:tcPr>
            <w:tcW w:type="dxa" w:w="604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Rule engine implements documented, auditable typology-based rules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Risk-based approach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Combined score allows risk-proportionate thresholds; High/Medium/Low tiers</w:t>
            </w:r>
          </w:p>
        </w:tc>
      </w:tr>
      <w:tr>
        <w:tc>
          <w:tcPr>
            <w:tcW w:type="dxa" w:w="403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Customer risk assessment</w:t>
            </w:r>
          </w:p>
        </w:tc>
        <w:tc>
          <w:tcPr>
            <w:tcW w:type="dxa" w:w="604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risk_category field provides account-level risk classification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Suspicious transaction reporting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combined_flag identifies accounts requiring STR consideration</w:t>
            </w:r>
          </w:p>
        </w:tc>
      </w:tr>
      <w:tr>
        <w:tc>
          <w:tcPr>
            <w:tcW w:type="dxa" w:w="403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Record keeping</w:t>
            </w:r>
          </w:p>
        </w:tc>
        <w:tc>
          <w:tcPr>
            <w:tcW w:type="dxa" w:w="604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All alerts, scores, and SHAP explanations persisted in outputs/</w:t>
            </w:r>
          </w:p>
        </w:tc>
      </w:tr>
    </w:tbl>
    <w:p>
      <w:pPr>
        <w:spacing w:after="120"/>
      </w:pPr>
    </w:p>
    <w:p>
      <w:pPr>
        <w:pStyle w:val="Heading2"/>
      </w:pPr>
      <w:r>
        <w:t>12.2  MAS FEAT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 Principle</w:t>
            </w:r>
          </w:p>
        </w:tc>
        <w:tc>
          <w:tcPr>
            <w:tcW w:type="dxa" w:w="748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System Design Response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Fairness</w:t>
            </w:r>
          </w:p>
        </w:tc>
        <w:tc>
          <w:tcPr>
            <w:tcW w:type="dxa" w:w="748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SHAP values enable monitoring for bias; community features are structural (not demographic)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Ethics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No protected characteristics used as features; model trained on behavioural transaction patterns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Accountability</w:t>
            </w:r>
          </w:p>
        </w:tc>
        <w:tc>
          <w:tcPr>
            <w:tcW w:type="dxa" w:w="7488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Full audit trail: model version, threshold, SHAP values, and rule triggers stored per account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Transparency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Per-account explanation (xgb_reason + rule_reason + community_reason) in analyst UI; SHAP exportable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>13. Limitations and Future Work</w:t>
      </w:r>
    </w:p>
    <w:p>
      <w:pPr>
        <w:pStyle w:val="Heading2"/>
      </w:pPr>
      <w:r>
        <w:t>13.1  Current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Limitation</w:t>
            </w:r>
          </w:p>
        </w:tc>
        <w:tc>
          <w:tcPr>
            <w:tcW w:type="dxa" w:w="360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60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Synthetic dataset</w:t>
            </w:r>
          </w:p>
        </w:tc>
        <w:tc>
          <w:tcPr>
            <w:tcW w:type="dxa" w:w="360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IBM LI-Small is simulated; real-world patterns may differ</w:t>
            </w:r>
          </w:p>
        </w:tc>
        <w:tc>
          <w:tcPr>
            <w:tcW w:type="dxa" w:w="360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Validate on production data; retrain quarterly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Recall ceiling (21-30%)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Majority of suspicious accounts not flagged by any single method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Ensemble approach partially mitigates; GNN could improve further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Static threshold</w:t>
            </w:r>
          </w:p>
        </w:tc>
        <w:tc>
          <w:tcPr>
            <w:tcW w:type="dxa" w:w="360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T=0.825 optimised on training set; may drift as behaviour changes</w:t>
            </w:r>
          </w:p>
        </w:tc>
        <w:tc>
          <w:tcPr>
            <w:tcW w:type="dxa" w:w="360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Periodic retraining and recalibration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No temporal model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XGBoost treats each account's history as a static snapshot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Future: LSTM or Transformer over transaction timelines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Graph labels at inference</w:t>
            </w:r>
          </w:p>
        </w:tc>
        <w:tc>
          <w:tcPr>
            <w:tcW w:type="dxa" w:w="360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cluster_suspicious_density requires historical labels</w:t>
            </w:r>
          </w:p>
        </w:tc>
        <w:tc>
          <w:tcPr>
            <w:tcW w:type="dxa" w:w="360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Use confirmed SAR history; cold-start falls back to structural features</w:t>
            </w:r>
          </w:p>
        </w:tc>
      </w:tr>
    </w:tbl>
    <w:p>
      <w:pPr>
        <w:spacing w:after="120"/>
      </w:pPr>
    </w:p>
    <w:p>
      <w:pPr>
        <w:pStyle w:val="Heading2"/>
      </w:pPr>
      <w:r>
        <w:t>13.2  Recommended Future Enhancements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Graph Neural Networks (GNN): Replace Leiden community features with GraphSAGE or GAT node embeddings trained end-to-end.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Temporal modelling: Incorporate transaction sequence order using LSTM or Transformer.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Online learning: Move from batch retraining to incremental model updates as new confirmed cases arrive.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Federated learning: Enable multiple banks to collaboratively train a shared model without sharing raw transaction data.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444444"/>
          <w:sz w:val="22"/>
        </w:rPr>
        <w:t>Calibration: Apply Platt scaling or isotonic regression to produce well-calibrated probability estimates.</w:t>
      </w:r>
    </w:p>
    <w:p>
      <w:pPr>
        <w:pStyle w:val="Heading1"/>
        <w:pageBreakBefore/>
      </w:pPr>
      <w:r>
        <w:t>14. Configuration Reference</w:t>
      </w:r>
    </w:p>
    <w:p>
      <w:pPr>
        <w:spacing w:after="120" w:before="40"/>
        <w:jc w:val="left"/>
      </w:pPr>
      <w:r>
        <w:rPr>
          <w:b w:val="0"/>
          <w:i w:val="0"/>
          <w:color w:val="444444"/>
          <w:sz w:val="22"/>
        </w:rPr>
        <w:t>All tunable parameters are centralised in config.json. No parameter changes require code modifications: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1872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Current Value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random_seed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root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42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Global reproducibility seed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sample_rows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root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250000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Transaction sample size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train_size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model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0.70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Fraction of accounts for training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n_estimators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model.xgb_params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300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XGBoost tree count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max_depth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model.xgb_params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6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XGBoost tree depth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learning_rate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model.xgb_params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0.05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XGBoost shrinkage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subsample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model.xgb_params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0.8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Row subsampling per tree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colsample_bytree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model.xgb_params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0.8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Feature subsampling per tree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xgb_score weight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model.risk_weights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0.50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XGBoost contribution to risk_score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community_score weight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model.risk_weights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0.25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Community contribution to risk_score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rule_score weight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model.risk_weights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0.25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Rule contribution to risk_score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combined_flag_threshold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model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50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risk_score cutoff for High alert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leiden_resolution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community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1.5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Main Leiden community granularity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min_cluster_size_flag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community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5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Minimum cluster size for community_flag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min_suspicious_density_flag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community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0.05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Minimum density for community_flag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min_edge_amount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community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1000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Minimum edge weight ($) for graph inclusion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kcore_k</w:t>
            </w:r>
          </w:p>
        </w:tc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community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type="dxa" w:w="2880"/>
            <w:shd w:val="clear" w:color="auto" w:fill="EBF5FB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K-core threshold for focused subgraph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444444"/>
                <w:sz w:val="20"/>
              </w:rPr>
              <w:t>focused_leiden_resolution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community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2.0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44444"/>
                <w:sz w:val="20"/>
              </w:rPr>
              <w:t>Focused Leiden community granularity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5276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E6E73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E6E73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