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13A56D">
      <w:pPr>
        <w:jc w:val="center"/>
        <w:rPr>
          <w:rFonts w:hint="default" w:ascii="Times New Roman" w:hAnsi="Times New Roman" w:eastAsia="宋体" w:cs="Times New Roman"/>
          <w:b/>
          <w:sz w:val="28"/>
          <w:szCs w:val="28"/>
          <w:lang w:val="en-US" w:eastAsia="zh-CN"/>
        </w:rPr>
      </w:pPr>
      <w:r>
        <w:rPr>
          <w:rFonts w:hint="eastAsia" w:ascii="Times New Roman" w:hAnsi="Times New Roman" w:eastAsia="宋体" w:cs="Times New Roman"/>
          <w:b/>
          <w:sz w:val="28"/>
          <w:szCs w:val="28"/>
          <w:lang w:val="en-US" w:eastAsia="zh-CN"/>
        </w:rPr>
        <w:t>检验中国股票市场中是否成立FF三因子模型及CAPM模型报告</w:t>
      </w:r>
    </w:p>
    <w:p w14:paraId="77449B40">
      <w:pPr>
        <w:spacing w:before="156" w:beforeLines="50" w:after="156" w:afterLines="50"/>
        <w:rPr>
          <w:rFonts w:hint="eastAsia"/>
          <w:lang w:val="en-US" w:eastAsia="zh-CN"/>
        </w:rPr>
      </w:pPr>
      <w:r>
        <w:rPr>
          <w:rFonts w:hint="eastAsia" w:ascii="Times New Roman" w:hAnsi="Times New Roman" w:eastAsia="宋体" w:cs="Times New Roman"/>
          <w:b/>
          <w:szCs w:val="22"/>
          <w:lang w:val="en-US" w:eastAsia="zh-CN"/>
        </w:rPr>
        <w:t>一、问题提出</w:t>
      </w:r>
    </w:p>
    <w:p w14:paraId="153571CF">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CAPM模型</w:t>
      </w:r>
      <w:r>
        <w:rPr>
          <w:rFonts w:hint="eastAsia"/>
          <w:lang w:val="en-US" w:eastAsia="zh-CN"/>
        </w:rPr>
        <w:t>（资本资产定价模型）是关于均衡状态下资产风险度量及确定资产价格的重要金融学理论之一，指出β因子是影响股票价格的重要因素。</w:t>
      </w:r>
      <w:r>
        <w:rPr>
          <w:rFonts w:hint="default"/>
          <w:lang w:val="en-US" w:eastAsia="zh-CN"/>
        </w:rPr>
        <w:t>FF三因子模型</w:t>
      </w:r>
      <w:r>
        <w:rPr>
          <w:rFonts w:hint="eastAsia"/>
          <w:lang w:val="en-US" w:eastAsia="zh-CN"/>
        </w:rPr>
        <w:t>是对CAPM模型的一个扩展，把影响股票价格的因素从</w:t>
      </w:r>
      <w:r>
        <w:rPr>
          <w:rFonts w:hint="default"/>
          <w:lang w:val="en-US" w:eastAsia="zh-CN"/>
        </w:rPr>
        <w:t>CAPM模型</w:t>
      </w:r>
      <w:r>
        <w:rPr>
          <w:rFonts w:hint="eastAsia"/>
          <w:lang w:val="en-US" w:eastAsia="zh-CN"/>
        </w:rPr>
        <w:t>的β因子扩展到了三个因子：市场溢价因子、规模因子及账面市值比因子。本报告希望通过检验中国股票市场中是否成立FF三因子模型及CAPM模型，帮助建立对中国股票市场的进一步认识。</w:t>
      </w:r>
    </w:p>
    <w:p w14:paraId="0E0B80A5">
      <w:pPr>
        <w:numPr>
          <w:ilvl w:val="0"/>
          <w:numId w:val="1"/>
        </w:numPr>
        <w:rPr>
          <w:rFonts w:hint="eastAsia" w:ascii="Times New Roman" w:hAnsi="Times New Roman" w:eastAsia="宋体" w:cs="Times New Roman"/>
          <w:b/>
          <w:szCs w:val="22"/>
          <w:lang w:val="en-US" w:eastAsia="zh-CN"/>
        </w:rPr>
      </w:pPr>
      <w:r>
        <w:rPr>
          <w:rFonts w:hint="eastAsia" w:ascii="Times New Roman" w:hAnsi="Times New Roman" w:eastAsia="宋体" w:cs="Times New Roman"/>
          <w:b/>
          <w:szCs w:val="22"/>
          <w:lang w:val="en-US" w:eastAsia="zh-CN"/>
        </w:rPr>
        <w:t>研究设计</w:t>
      </w:r>
    </w:p>
    <w:p w14:paraId="3EE4054D">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ascii="Times New Roman" w:hAnsi="Times New Roman" w:eastAsia="宋体" w:cs="Times New Roman"/>
        </w:rPr>
        <w:t>本报告选择中国</w:t>
      </w:r>
      <w:r>
        <w:rPr>
          <w:rFonts w:hint="eastAsia" w:ascii="Times New Roman" w:hAnsi="Times New Roman" w:eastAsia="宋体" w:cs="Times New Roman"/>
          <w:lang w:val="en-US" w:eastAsia="zh-CN"/>
        </w:rPr>
        <w:t>股票</w:t>
      </w:r>
      <w:r>
        <w:rPr>
          <w:rFonts w:ascii="Times New Roman" w:hAnsi="Times New Roman" w:eastAsia="宋体" w:cs="Times New Roman"/>
        </w:rPr>
        <w:t>市场</w:t>
      </w:r>
      <w:r>
        <w:rPr>
          <w:rFonts w:hint="eastAsia" w:ascii="Times New Roman" w:hAnsi="Times New Roman" w:eastAsia="宋体" w:cs="Times New Roman"/>
          <w:lang w:val="en-US" w:eastAsia="zh-CN"/>
        </w:rPr>
        <w:t>典型</w:t>
      </w:r>
      <w:r>
        <w:rPr>
          <w:rFonts w:ascii="Times New Roman" w:hAnsi="Times New Roman" w:eastAsia="宋体" w:cs="Times New Roman"/>
        </w:rPr>
        <w:t>个股，进行</w:t>
      </w:r>
      <w:r>
        <w:rPr>
          <w:rFonts w:hint="eastAsia"/>
          <w:lang w:val="en-US" w:eastAsia="zh-CN"/>
        </w:rPr>
        <w:t>检验中国股票市场中是否成立FF三因子模型及CAPM模型。</w:t>
      </w:r>
    </w:p>
    <w:p w14:paraId="15685A74">
      <w:pPr>
        <w:rPr>
          <w:rFonts w:hint="eastAsia" w:ascii="Times New Roman" w:hAnsi="Times New Roman" w:eastAsia="宋体" w:cs="Times New Roman"/>
          <w:b/>
          <w:szCs w:val="22"/>
          <w:lang w:val="en-US" w:eastAsia="zh-CN"/>
        </w:rPr>
      </w:pPr>
      <w:r>
        <w:rPr>
          <w:rFonts w:hint="eastAsia" w:ascii="Times New Roman" w:hAnsi="Times New Roman" w:eastAsia="宋体" w:cs="Times New Roman"/>
          <w:b/>
          <w:szCs w:val="22"/>
          <w:lang w:val="en-US" w:eastAsia="zh-CN"/>
        </w:rPr>
        <w:t>三、中国股票市场中是否成立FF三因子模型及CAPM模型</w:t>
      </w:r>
    </w:p>
    <w:p w14:paraId="2BA3FDAF">
      <w:pPr>
        <w:rPr>
          <w:rFonts w:hint="eastAsia"/>
          <w:lang w:val="en-US" w:eastAsia="zh-CN"/>
        </w:rPr>
      </w:pPr>
      <w:r>
        <w:rPr>
          <w:rFonts w:hint="eastAsia"/>
          <w:lang w:val="en-US" w:eastAsia="zh-CN"/>
        </w:rPr>
        <w:t>1、数据来源</w:t>
      </w:r>
    </w:p>
    <w:p w14:paraId="629B5863">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在锐思数据库选取2018年1月1日到2023年12月31日，共72个月的月度FF三因子数据、无风险利率数据、股票月度回报率数据，下载A股的200多个股票个股数据：市场溢酬因子（RmRf）：股票投资组合的月收益率与无风险月收益率之差。市值因子（SMB）：小公司投资组合的月收益率与大公司投资组合的月收益率之差。账面市值比因子(HML)：高账面市值比因子公司的投资组合月收益率与低账面市值比因子公司的投资组合月收益率之差。风险因子_总市值加权_持有期收益：（β因子）市场的收益指按流通市值加权的持有期收益。见数据文件。</w:t>
      </w:r>
    </w:p>
    <w:p w14:paraId="6F426691">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在国泰安CSMAR数据库中下载2018年1月1日到2023年12月31日,共72个月的月度的无风险利率文件、月个股回报率文件和综合月市场回报率文件，作为检验CAPM模型的数据，见数据文件。</w:t>
      </w:r>
    </w:p>
    <w:p w14:paraId="4AFFFEAE">
      <w:pPr>
        <w:numPr>
          <w:ilvl w:val="0"/>
          <w:numId w:val="2"/>
        </w:numPr>
        <w:rPr>
          <w:rFonts w:hint="eastAsia"/>
          <w:lang w:val="en-US" w:eastAsia="zh-CN"/>
        </w:rPr>
      </w:pPr>
      <w:r>
        <w:rPr>
          <w:rFonts w:hint="eastAsia"/>
          <w:lang w:val="en-US" w:eastAsia="zh-CN"/>
        </w:rPr>
        <w:t>统计分析方法</w:t>
      </w:r>
    </w:p>
    <w:p w14:paraId="32EE3590">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Times New Roman" w:hAnsi="Times New Roman" w:eastAsia="宋体" w:cs="Times New Roman"/>
          <w:lang w:val="en-US" w:eastAsia="zh-CN"/>
        </w:rPr>
      </w:pPr>
      <w:r>
        <w:rPr>
          <w:rFonts w:ascii="Times New Roman" w:hAnsi="Times New Roman" w:eastAsia="宋体" w:cs="Times New Roman"/>
        </w:rPr>
        <w:t>采用的stata相应的命令和操作，见do文件</w:t>
      </w:r>
      <w:r>
        <w:rPr>
          <w:rFonts w:hint="eastAsia" w:ascii="Times New Roman" w:hAnsi="Times New Roman" w:eastAsia="宋体" w:cs="Times New Roman"/>
          <w:lang w:eastAsia="zh-CN"/>
        </w:rPr>
        <w:t>。</w:t>
      </w:r>
    </w:p>
    <w:p w14:paraId="1AB8FE33">
      <w:pPr>
        <w:numPr>
          <w:ilvl w:val="0"/>
          <w:numId w:val="2"/>
        </w:numPr>
        <w:ind w:left="0" w:leftChars="0" w:firstLine="0" w:firstLineChars="0"/>
        <w:rPr>
          <w:rFonts w:hint="eastAsia"/>
          <w:lang w:val="en-US" w:eastAsia="zh-CN"/>
        </w:rPr>
      </w:pPr>
      <w:r>
        <w:rPr>
          <w:rFonts w:hint="eastAsia"/>
          <w:lang w:val="en-US" w:eastAsia="zh-CN"/>
        </w:rPr>
        <w:t>结果呈现</w:t>
      </w:r>
    </w:p>
    <w:p w14:paraId="126C257F">
      <w:pPr>
        <w:numPr>
          <w:ilvl w:val="0"/>
          <w:numId w:val="0"/>
        </w:numPr>
        <w:ind w:leftChars="0"/>
        <w:rPr>
          <w:rFonts w:hint="default"/>
          <w:lang w:val="en-US" w:eastAsia="zh-CN"/>
        </w:rPr>
      </w:pPr>
      <w:r>
        <w:rPr>
          <w:rFonts w:hint="eastAsia"/>
          <w:lang w:val="en-US" w:eastAsia="zh-CN"/>
        </w:rPr>
        <w:t>（1）FF三因子检验——基于A股市场</w:t>
      </w:r>
    </w:p>
    <w:p w14:paraId="4D2A5C21">
      <w:pPr>
        <w:numPr>
          <w:ilvl w:val="0"/>
          <w:numId w:val="0"/>
        </w:numPr>
        <w:rPr>
          <w:rFonts w:hint="default"/>
          <w:lang w:val="en-US" w:eastAsia="zh-CN"/>
        </w:rPr>
      </w:pPr>
      <w:r>
        <w:rPr>
          <w:rFonts w:hint="eastAsia"/>
          <w:lang w:val="en-US" w:eastAsia="zh-CN"/>
        </w:rPr>
        <w:t>表1 描述性统计</w:t>
      </w:r>
    </w:p>
    <w:tbl>
      <w:tblPr>
        <w:tblStyle w:val="2"/>
        <w:tblW w:w="4997"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19"/>
        <w:gridCol w:w="937"/>
        <w:gridCol w:w="1406"/>
        <w:gridCol w:w="1406"/>
        <w:gridCol w:w="1249"/>
        <w:gridCol w:w="1250"/>
        <w:gridCol w:w="1250"/>
      </w:tblGrid>
      <w:tr w14:paraId="5FFBF5E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98" w:type="pct"/>
            <w:tcBorders>
              <w:top w:val="single" w:color="auto" w:sz="6" w:space="0"/>
              <w:left w:val="nil"/>
              <w:bottom w:val="nil"/>
              <w:right w:val="nil"/>
              <w:tl2br w:val="nil"/>
              <w:tr2bl w:val="nil"/>
            </w:tcBorders>
            <w:noWrap w:val="0"/>
            <w:vAlign w:val="top"/>
          </w:tcPr>
          <w:p w14:paraId="303DC905">
            <w:pPr>
              <w:spacing w:beforeLines="0" w:afterLines="0"/>
              <w:jc w:val="left"/>
              <w:rPr>
                <w:rFonts w:hint="default"/>
                <w:sz w:val="24"/>
                <w:szCs w:val="24"/>
              </w:rPr>
            </w:pPr>
            <w:r>
              <w:rPr>
                <w:rFonts w:hint="default"/>
                <w:sz w:val="24"/>
                <w:szCs w:val="24"/>
              </w:rPr>
              <w:t>Variable</w:t>
            </w:r>
          </w:p>
        </w:tc>
        <w:tc>
          <w:tcPr>
            <w:tcW w:w="550" w:type="pct"/>
            <w:tcBorders>
              <w:top w:val="single" w:color="auto" w:sz="6" w:space="0"/>
              <w:left w:val="nil"/>
              <w:bottom w:val="nil"/>
              <w:right w:val="nil"/>
              <w:tl2br w:val="nil"/>
              <w:tr2bl w:val="nil"/>
            </w:tcBorders>
            <w:noWrap w:val="0"/>
            <w:vAlign w:val="top"/>
          </w:tcPr>
          <w:p w14:paraId="6E48A024">
            <w:pPr>
              <w:spacing w:beforeLines="0" w:afterLines="0"/>
              <w:jc w:val="center"/>
              <w:rPr>
                <w:rFonts w:hint="default"/>
                <w:sz w:val="24"/>
                <w:szCs w:val="24"/>
              </w:rPr>
            </w:pPr>
            <w:r>
              <w:rPr>
                <w:rFonts w:hint="default"/>
                <w:sz w:val="24"/>
                <w:szCs w:val="24"/>
              </w:rPr>
              <w:t>N</w:t>
            </w:r>
          </w:p>
        </w:tc>
        <w:tc>
          <w:tcPr>
            <w:tcW w:w="825" w:type="pct"/>
            <w:tcBorders>
              <w:top w:val="single" w:color="auto" w:sz="6" w:space="0"/>
              <w:left w:val="nil"/>
              <w:bottom w:val="nil"/>
              <w:right w:val="nil"/>
              <w:tl2br w:val="nil"/>
              <w:tr2bl w:val="nil"/>
            </w:tcBorders>
            <w:noWrap w:val="0"/>
            <w:vAlign w:val="top"/>
          </w:tcPr>
          <w:p w14:paraId="42195984">
            <w:pPr>
              <w:spacing w:beforeLines="0" w:afterLines="0"/>
              <w:jc w:val="center"/>
              <w:rPr>
                <w:rFonts w:hint="default"/>
                <w:sz w:val="24"/>
                <w:szCs w:val="24"/>
              </w:rPr>
            </w:pPr>
            <w:r>
              <w:rPr>
                <w:rFonts w:hint="default"/>
                <w:sz w:val="24"/>
                <w:szCs w:val="24"/>
              </w:rPr>
              <w:t>Mean</w:t>
            </w:r>
          </w:p>
        </w:tc>
        <w:tc>
          <w:tcPr>
            <w:tcW w:w="825" w:type="pct"/>
            <w:tcBorders>
              <w:top w:val="single" w:color="auto" w:sz="6" w:space="0"/>
              <w:left w:val="nil"/>
              <w:bottom w:val="nil"/>
              <w:right w:val="nil"/>
              <w:tl2br w:val="nil"/>
              <w:tr2bl w:val="nil"/>
            </w:tcBorders>
            <w:noWrap w:val="0"/>
            <w:vAlign w:val="top"/>
          </w:tcPr>
          <w:p w14:paraId="061294DA">
            <w:pPr>
              <w:spacing w:beforeLines="0" w:afterLines="0"/>
              <w:jc w:val="center"/>
              <w:rPr>
                <w:rFonts w:hint="default"/>
                <w:sz w:val="24"/>
                <w:szCs w:val="24"/>
              </w:rPr>
            </w:pPr>
            <w:r>
              <w:rPr>
                <w:rFonts w:hint="default"/>
                <w:sz w:val="24"/>
                <w:szCs w:val="24"/>
              </w:rPr>
              <w:t>p50</w:t>
            </w:r>
          </w:p>
        </w:tc>
        <w:tc>
          <w:tcPr>
            <w:tcW w:w="733" w:type="pct"/>
            <w:tcBorders>
              <w:top w:val="single" w:color="auto" w:sz="6" w:space="0"/>
              <w:left w:val="nil"/>
              <w:bottom w:val="nil"/>
              <w:right w:val="nil"/>
              <w:tl2br w:val="nil"/>
              <w:tr2bl w:val="nil"/>
            </w:tcBorders>
            <w:noWrap w:val="0"/>
            <w:vAlign w:val="top"/>
          </w:tcPr>
          <w:p w14:paraId="59F5AF10">
            <w:pPr>
              <w:spacing w:beforeLines="0" w:afterLines="0"/>
              <w:jc w:val="center"/>
              <w:rPr>
                <w:rFonts w:hint="default"/>
                <w:sz w:val="24"/>
                <w:szCs w:val="24"/>
              </w:rPr>
            </w:pPr>
            <w:r>
              <w:rPr>
                <w:rFonts w:hint="default"/>
                <w:sz w:val="24"/>
                <w:szCs w:val="24"/>
              </w:rPr>
              <w:t>SD</w:t>
            </w:r>
          </w:p>
        </w:tc>
        <w:tc>
          <w:tcPr>
            <w:tcW w:w="733" w:type="pct"/>
            <w:tcBorders>
              <w:top w:val="single" w:color="auto" w:sz="6" w:space="0"/>
              <w:left w:val="nil"/>
              <w:bottom w:val="nil"/>
              <w:right w:val="nil"/>
              <w:tl2br w:val="nil"/>
              <w:tr2bl w:val="nil"/>
            </w:tcBorders>
            <w:noWrap w:val="0"/>
            <w:vAlign w:val="top"/>
          </w:tcPr>
          <w:p w14:paraId="22941552">
            <w:pPr>
              <w:spacing w:beforeLines="0" w:afterLines="0"/>
              <w:jc w:val="center"/>
              <w:rPr>
                <w:rFonts w:hint="default"/>
                <w:sz w:val="24"/>
                <w:szCs w:val="24"/>
              </w:rPr>
            </w:pPr>
            <w:r>
              <w:rPr>
                <w:rFonts w:hint="default"/>
                <w:sz w:val="24"/>
                <w:szCs w:val="24"/>
              </w:rPr>
              <w:t>Min</w:t>
            </w:r>
          </w:p>
        </w:tc>
        <w:tc>
          <w:tcPr>
            <w:tcW w:w="733" w:type="pct"/>
            <w:tcBorders>
              <w:top w:val="single" w:color="auto" w:sz="6" w:space="0"/>
              <w:left w:val="nil"/>
              <w:bottom w:val="nil"/>
              <w:right w:val="nil"/>
              <w:tl2br w:val="nil"/>
              <w:tr2bl w:val="nil"/>
            </w:tcBorders>
            <w:noWrap w:val="0"/>
            <w:vAlign w:val="top"/>
          </w:tcPr>
          <w:p w14:paraId="3FA6DC53">
            <w:pPr>
              <w:spacing w:beforeLines="0" w:afterLines="0"/>
              <w:jc w:val="center"/>
              <w:rPr>
                <w:rFonts w:hint="default"/>
                <w:sz w:val="24"/>
                <w:szCs w:val="24"/>
              </w:rPr>
            </w:pPr>
            <w:r>
              <w:rPr>
                <w:rFonts w:hint="default"/>
                <w:sz w:val="24"/>
                <w:szCs w:val="24"/>
              </w:rPr>
              <w:t>Max</w:t>
            </w:r>
          </w:p>
        </w:tc>
      </w:tr>
      <w:tr w14:paraId="653B9EB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98" w:type="pct"/>
            <w:tcBorders>
              <w:top w:val="nil"/>
              <w:left w:val="nil"/>
              <w:bottom w:val="single" w:color="auto" w:sz="6" w:space="0"/>
              <w:right w:val="nil"/>
              <w:tl2br w:val="nil"/>
              <w:tr2bl w:val="nil"/>
            </w:tcBorders>
            <w:noWrap w:val="0"/>
            <w:vAlign w:val="top"/>
          </w:tcPr>
          <w:p w14:paraId="759ABF86">
            <w:pPr>
              <w:spacing w:beforeLines="0" w:afterLines="0"/>
              <w:jc w:val="left"/>
              <w:rPr>
                <w:rFonts w:hint="default"/>
                <w:sz w:val="24"/>
                <w:szCs w:val="24"/>
              </w:rPr>
            </w:pPr>
            <w:r>
              <w:rPr>
                <w:rFonts w:hint="default"/>
                <w:sz w:val="24"/>
                <w:szCs w:val="24"/>
              </w:rPr>
              <w:t>ri</w:t>
            </w:r>
          </w:p>
        </w:tc>
        <w:tc>
          <w:tcPr>
            <w:tcW w:w="550" w:type="pct"/>
            <w:tcBorders>
              <w:top w:val="nil"/>
              <w:left w:val="nil"/>
              <w:bottom w:val="single" w:color="auto" w:sz="6" w:space="0"/>
              <w:right w:val="nil"/>
              <w:tl2br w:val="nil"/>
              <w:tr2bl w:val="nil"/>
            </w:tcBorders>
            <w:noWrap w:val="0"/>
            <w:vAlign w:val="top"/>
          </w:tcPr>
          <w:p w14:paraId="73AC2768">
            <w:pPr>
              <w:spacing w:beforeLines="0" w:afterLines="0"/>
              <w:jc w:val="center"/>
              <w:rPr>
                <w:rFonts w:hint="default"/>
                <w:sz w:val="24"/>
                <w:szCs w:val="24"/>
              </w:rPr>
            </w:pPr>
            <w:r>
              <w:rPr>
                <w:rFonts w:hint="default"/>
                <w:sz w:val="24"/>
                <w:szCs w:val="24"/>
              </w:rPr>
              <w:t>14269</w:t>
            </w:r>
          </w:p>
        </w:tc>
        <w:tc>
          <w:tcPr>
            <w:tcW w:w="825" w:type="pct"/>
            <w:tcBorders>
              <w:top w:val="nil"/>
              <w:left w:val="nil"/>
              <w:bottom w:val="single" w:color="auto" w:sz="6" w:space="0"/>
              <w:right w:val="nil"/>
              <w:tl2br w:val="nil"/>
              <w:tr2bl w:val="nil"/>
            </w:tcBorders>
            <w:noWrap w:val="0"/>
            <w:vAlign w:val="top"/>
          </w:tcPr>
          <w:p w14:paraId="51E40A12">
            <w:pPr>
              <w:spacing w:beforeLines="0" w:afterLines="0"/>
              <w:jc w:val="center"/>
              <w:rPr>
                <w:rFonts w:hint="default"/>
                <w:sz w:val="24"/>
                <w:szCs w:val="24"/>
              </w:rPr>
            </w:pPr>
            <w:r>
              <w:rPr>
                <w:rFonts w:hint="default"/>
                <w:sz w:val="24"/>
                <w:szCs w:val="24"/>
              </w:rPr>
              <w:t>0.00500</w:t>
            </w:r>
          </w:p>
        </w:tc>
        <w:tc>
          <w:tcPr>
            <w:tcW w:w="825" w:type="pct"/>
            <w:tcBorders>
              <w:top w:val="nil"/>
              <w:left w:val="nil"/>
              <w:bottom w:val="single" w:color="auto" w:sz="6" w:space="0"/>
              <w:right w:val="nil"/>
              <w:tl2br w:val="nil"/>
              <w:tr2bl w:val="nil"/>
            </w:tcBorders>
            <w:noWrap w:val="0"/>
            <w:vAlign w:val="top"/>
          </w:tcPr>
          <w:p w14:paraId="31ABDBE3">
            <w:pPr>
              <w:spacing w:beforeLines="0" w:afterLines="0"/>
              <w:jc w:val="center"/>
              <w:rPr>
                <w:rFonts w:hint="default"/>
                <w:sz w:val="24"/>
                <w:szCs w:val="24"/>
              </w:rPr>
            </w:pPr>
            <w:r>
              <w:rPr>
                <w:rFonts w:hint="default"/>
                <w:sz w:val="24"/>
                <w:szCs w:val="24"/>
              </w:rPr>
              <w:t>-0.00900</w:t>
            </w:r>
          </w:p>
        </w:tc>
        <w:tc>
          <w:tcPr>
            <w:tcW w:w="733" w:type="pct"/>
            <w:tcBorders>
              <w:top w:val="nil"/>
              <w:left w:val="nil"/>
              <w:bottom w:val="single" w:color="auto" w:sz="6" w:space="0"/>
              <w:right w:val="nil"/>
              <w:tl2br w:val="nil"/>
              <w:tr2bl w:val="nil"/>
            </w:tcBorders>
            <w:noWrap w:val="0"/>
            <w:vAlign w:val="top"/>
          </w:tcPr>
          <w:p w14:paraId="28A6448A">
            <w:pPr>
              <w:spacing w:beforeLines="0" w:afterLines="0"/>
              <w:jc w:val="center"/>
              <w:rPr>
                <w:rFonts w:hint="default"/>
                <w:sz w:val="24"/>
                <w:szCs w:val="24"/>
              </w:rPr>
            </w:pPr>
            <w:r>
              <w:rPr>
                <w:rFonts w:hint="default"/>
                <w:sz w:val="24"/>
                <w:szCs w:val="24"/>
              </w:rPr>
              <w:t>0.129</w:t>
            </w:r>
          </w:p>
        </w:tc>
        <w:tc>
          <w:tcPr>
            <w:tcW w:w="733" w:type="pct"/>
            <w:tcBorders>
              <w:top w:val="nil"/>
              <w:left w:val="nil"/>
              <w:bottom w:val="single" w:color="auto" w:sz="6" w:space="0"/>
              <w:right w:val="nil"/>
              <w:tl2br w:val="nil"/>
              <w:tr2bl w:val="nil"/>
            </w:tcBorders>
            <w:noWrap w:val="0"/>
            <w:vAlign w:val="top"/>
          </w:tcPr>
          <w:p w14:paraId="1BB7044D">
            <w:pPr>
              <w:spacing w:beforeLines="0" w:afterLines="0"/>
              <w:jc w:val="center"/>
              <w:rPr>
                <w:rFonts w:hint="default"/>
                <w:sz w:val="24"/>
                <w:szCs w:val="24"/>
              </w:rPr>
            </w:pPr>
            <w:r>
              <w:rPr>
                <w:rFonts w:hint="default"/>
                <w:sz w:val="24"/>
                <w:szCs w:val="24"/>
              </w:rPr>
              <w:t>-0.728</w:t>
            </w:r>
          </w:p>
        </w:tc>
        <w:tc>
          <w:tcPr>
            <w:tcW w:w="733" w:type="pct"/>
            <w:tcBorders>
              <w:top w:val="nil"/>
              <w:left w:val="nil"/>
              <w:bottom w:val="single" w:color="auto" w:sz="6" w:space="0"/>
              <w:right w:val="nil"/>
              <w:tl2br w:val="nil"/>
              <w:tr2bl w:val="nil"/>
            </w:tcBorders>
            <w:noWrap w:val="0"/>
            <w:vAlign w:val="top"/>
          </w:tcPr>
          <w:p w14:paraId="1A98BC88">
            <w:pPr>
              <w:spacing w:beforeLines="0" w:afterLines="0"/>
              <w:jc w:val="center"/>
              <w:rPr>
                <w:rFonts w:hint="default"/>
                <w:sz w:val="24"/>
                <w:szCs w:val="24"/>
              </w:rPr>
            </w:pPr>
            <w:r>
              <w:rPr>
                <w:rFonts w:hint="default"/>
                <w:sz w:val="24"/>
                <w:szCs w:val="24"/>
              </w:rPr>
              <w:t>2.546</w:t>
            </w:r>
          </w:p>
        </w:tc>
      </w:tr>
      <w:tr w14:paraId="7F3905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98" w:type="pct"/>
            <w:tcBorders>
              <w:top w:val="nil"/>
              <w:left w:val="nil"/>
              <w:bottom w:val="nil"/>
              <w:right w:val="nil"/>
              <w:tl2br w:val="nil"/>
              <w:tr2bl w:val="nil"/>
            </w:tcBorders>
            <w:noWrap w:val="0"/>
            <w:vAlign w:val="top"/>
          </w:tcPr>
          <w:p w14:paraId="08F1D570">
            <w:pPr>
              <w:spacing w:beforeLines="0" w:afterLines="0"/>
              <w:jc w:val="left"/>
              <w:rPr>
                <w:rFonts w:hint="default"/>
                <w:sz w:val="24"/>
                <w:szCs w:val="24"/>
              </w:rPr>
            </w:pPr>
            <w:r>
              <w:rPr>
                <w:rFonts w:hint="default"/>
                <w:sz w:val="24"/>
                <w:szCs w:val="24"/>
              </w:rPr>
              <w:t>rf</w:t>
            </w:r>
          </w:p>
        </w:tc>
        <w:tc>
          <w:tcPr>
            <w:tcW w:w="550" w:type="pct"/>
            <w:tcBorders>
              <w:top w:val="nil"/>
              <w:left w:val="nil"/>
              <w:bottom w:val="nil"/>
              <w:right w:val="nil"/>
              <w:tl2br w:val="nil"/>
              <w:tr2bl w:val="nil"/>
            </w:tcBorders>
            <w:noWrap w:val="0"/>
            <w:vAlign w:val="top"/>
          </w:tcPr>
          <w:p w14:paraId="4676FA71">
            <w:pPr>
              <w:spacing w:beforeLines="0" w:afterLines="0"/>
              <w:jc w:val="center"/>
              <w:rPr>
                <w:rFonts w:hint="default"/>
                <w:sz w:val="24"/>
                <w:szCs w:val="24"/>
              </w:rPr>
            </w:pPr>
            <w:r>
              <w:rPr>
                <w:rFonts w:hint="default"/>
                <w:sz w:val="24"/>
                <w:szCs w:val="24"/>
              </w:rPr>
              <w:t>14269</w:t>
            </w:r>
          </w:p>
        </w:tc>
        <w:tc>
          <w:tcPr>
            <w:tcW w:w="825" w:type="pct"/>
            <w:tcBorders>
              <w:top w:val="nil"/>
              <w:left w:val="nil"/>
              <w:bottom w:val="nil"/>
              <w:right w:val="nil"/>
              <w:tl2br w:val="nil"/>
              <w:tr2bl w:val="nil"/>
            </w:tcBorders>
            <w:noWrap w:val="0"/>
            <w:vAlign w:val="top"/>
          </w:tcPr>
          <w:p w14:paraId="30F62E78">
            <w:pPr>
              <w:spacing w:beforeLines="0" w:afterLines="0"/>
              <w:jc w:val="center"/>
              <w:rPr>
                <w:rFonts w:hint="default"/>
                <w:sz w:val="24"/>
                <w:szCs w:val="24"/>
              </w:rPr>
            </w:pPr>
            <w:r>
              <w:rPr>
                <w:rFonts w:hint="default"/>
                <w:sz w:val="24"/>
                <w:szCs w:val="24"/>
              </w:rPr>
              <w:t>0.00200</w:t>
            </w:r>
          </w:p>
        </w:tc>
        <w:tc>
          <w:tcPr>
            <w:tcW w:w="825" w:type="pct"/>
            <w:tcBorders>
              <w:top w:val="nil"/>
              <w:left w:val="nil"/>
              <w:bottom w:val="nil"/>
              <w:right w:val="nil"/>
              <w:tl2br w:val="nil"/>
              <w:tr2bl w:val="nil"/>
            </w:tcBorders>
            <w:noWrap w:val="0"/>
            <w:vAlign w:val="top"/>
          </w:tcPr>
          <w:p w14:paraId="5D399DDA">
            <w:pPr>
              <w:spacing w:beforeLines="0" w:afterLines="0"/>
              <w:jc w:val="center"/>
              <w:rPr>
                <w:rFonts w:hint="default"/>
                <w:sz w:val="24"/>
                <w:szCs w:val="24"/>
              </w:rPr>
            </w:pPr>
            <w:r>
              <w:rPr>
                <w:rFonts w:hint="default"/>
                <w:sz w:val="24"/>
                <w:szCs w:val="24"/>
              </w:rPr>
              <w:t>0.00200</w:t>
            </w:r>
          </w:p>
        </w:tc>
        <w:tc>
          <w:tcPr>
            <w:tcW w:w="733" w:type="pct"/>
            <w:tcBorders>
              <w:top w:val="nil"/>
              <w:left w:val="nil"/>
              <w:bottom w:val="nil"/>
              <w:right w:val="nil"/>
              <w:tl2br w:val="nil"/>
              <w:tr2bl w:val="nil"/>
            </w:tcBorders>
            <w:noWrap w:val="0"/>
            <w:vAlign w:val="top"/>
          </w:tcPr>
          <w:p w14:paraId="779046B3">
            <w:pPr>
              <w:spacing w:beforeLines="0" w:afterLines="0"/>
              <w:jc w:val="center"/>
              <w:rPr>
                <w:rFonts w:hint="default"/>
                <w:sz w:val="24"/>
                <w:szCs w:val="24"/>
              </w:rPr>
            </w:pPr>
            <w:r>
              <w:rPr>
                <w:rFonts w:hint="default"/>
                <w:sz w:val="24"/>
                <w:szCs w:val="24"/>
              </w:rPr>
              <w:t>0.00100</w:t>
            </w:r>
          </w:p>
        </w:tc>
        <w:tc>
          <w:tcPr>
            <w:tcW w:w="733" w:type="pct"/>
            <w:tcBorders>
              <w:top w:val="nil"/>
              <w:left w:val="nil"/>
              <w:bottom w:val="nil"/>
              <w:right w:val="nil"/>
              <w:tl2br w:val="nil"/>
              <w:tr2bl w:val="nil"/>
            </w:tcBorders>
            <w:noWrap w:val="0"/>
            <w:vAlign w:val="top"/>
          </w:tcPr>
          <w:p w14:paraId="4C5175B0">
            <w:pPr>
              <w:spacing w:beforeLines="0" w:afterLines="0"/>
              <w:jc w:val="center"/>
              <w:rPr>
                <w:rFonts w:hint="default"/>
                <w:sz w:val="24"/>
                <w:szCs w:val="24"/>
              </w:rPr>
            </w:pPr>
            <w:r>
              <w:rPr>
                <w:rFonts w:hint="default"/>
                <w:sz w:val="24"/>
                <w:szCs w:val="24"/>
              </w:rPr>
              <w:t>0.00100</w:t>
            </w:r>
          </w:p>
        </w:tc>
        <w:tc>
          <w:tcPr>
            <w:tcW w:w="733" w:type="pct"/>
            <w:tcBorders>
              <w:top w:val="nil"/>
              <w:left w:val="nil"/>
              <w:bottom w:val="nil"/>
              <w:right w:val="nil"/>
              <w:tl2br w:val="nil"/>
              <w:tr2bl w:val="nil"/>
            </w:tcBorders>
            <w:noWrap w:val="0"/>
            <w:vAlign w:val="top"/>
          </w:tcPr>
          <w:p w14:paraId="3F02F4E6">
            <w:pPr>
              <w:spacing w:beforeLines="0" w:afterLines="0"/>
              <w:jc w:val="center"/>
              <w:rPr>
                <w:rFonts w:hint="default"/>
                <w:sz w:val="24"/>
                <w:szCs w:val="24"/>
              </w:rPr>
            </w:pPr>
            <w:r>
              <w:rPr>
                <w:rFonts w:hint="default"/>
                <w:sz w:val="24"/>
                <w:szCs w:val="24"/>
              </w:rPr>
              <w:t>0.00400</w:t>
            </w:r>
          </w:p>
        </w:tc>
      </w:tr>
      <w:tr w14:paraId="7D5EEC2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98" w:type="pct"/>
            <w:tcBorders>
              <w:top w:val="nil"/>
              <w:left w:val="nil"/>
              <w:bottom w:val="nil"/>
              <w:right w:val="nil"/>
              <w:tl2br w:val="nil"/>
              <w:tr2bl w:val="nil"/>
            </w:tcBorders>
            <w:noWrap w:val="0"/>
            <w:vAlign w:val="top"/>
          </w:tcPr>
          <w:p w14:paraId="675A4B49">
            <w:pPr>
              <w:spacing w:beforeLines="0" w:afterLines="0"/>
              <w:jc w:val="left"/>
              <w:rPr>
                <w:rFonts w:hint="default"/>
                <w:sz w:val="24"/>
                <w:szCs w:val="24"/>
              </w:rPr>
            </w:pPr>
            <w:r>
              <w:rPr>
                <w:rFonts w:hint="default"/>
                <w:sz w:val="24"/>
                <w:szCs w:val="24"/>
              </w:rPr>
              <w:t>ri rf</w:t>
            </w:r>
          </w:p>
        </w:tc>
        <w:tc>
          <w:tcPr>
            <w:tcW w:w="550" w:type="pct"/>
            <w:tcBorders>
              <w:top w:val="nil"/>
              <w:left w:val="nil"/>
              <w:bottom w:val="nil"/>
              <w:right w:val="nil"/>
              <w:tl2br w:val="nil"/>
              <w:tr2bl w:val="nil"/>
            </w:tcBorders>
            <w:noWrap w:val="0"/>
            <w:vAlign w:val="top"/>
          </w:tcPr>
          <w:p w14:paraId="1A6E1734">
            <w:pPr>
              <w:spacing w:beforeLines="0" w:afterLines="0"/>
              <w:jc w:val="center"/>
              <w:rPr>
                <w:rFonts w:hint="default"/>
                <w:sz w:val="24"/>
                <w:szCs w:val="24"/>
              </w:rPr>
            </w:pPr>
            <w:r>
              <w:rPr>
                <w:rFonts w:hint="default"/>
                <w:sz w:val="24"/>
                <w:szCs w:val="24"/>
              </w:rPr>
              <w:t>14400</w:t>
            </w:r>
          </w:p>
        </w:tc>
        <w:tc>
          <w:tcPr>
            <w:tcW w:w="825" w:type="pct"/>
            <w:tcBorders>
              <w:top w:val="nil"/>
              <w:left w:val="nil"/>
              <w:bottom w:val="nil"/>
              <w:right w:val="nil"/>
              <w:tl2br w:val="nil"/>
              <w:tr2bl w:val="nil"/>
            </w:tcBorders>
            <w:noWrap w:val="0"/>
            <w:vAlign w:val="top"/>
          </w:tcPr>
          <w:p w14:paraId="7A58265D">
            <w:pPr>
              <w:spacing w:beforeLines="0" w:afterLines="0"/>
              <w:jc w:val="center"/>
              <w:rPr>
                <w:rFonts w:hint="default"/>
                <w:sz w:val="24"/>
                <w:szCs w:val="24"/>
              </w:rPr>
            </w:pPr>
            <w:r>
              <w:rPr>
                <w:rFonts w:hint="default"/>
                <w:sz w:val="24"/>
                <w:szCs w:val="24"/>
              </w:rPr>
              <w:t>0.00200</w:t>
            </w:r>
          </w:p>
        </w:tc>
        <w:tc>
          <w:tcPr>
            <w:tcW w:w="825" w:type="pct"/>
            <w:tcBorders>
              <w:top w:val="nil"/>
              <w:left w:val="nil"/>
              <w:bottom w:val="nil"/>
              <w:right w:val="nil"/>
              <w:tl2br w:val="nil"/>
              <w:tr2bl w:val="nil"/>
            </w:tcBorders>
            <w:noWrap w:val="0"/>
            <w:vAlign w:val="top"/>
          </w:tcPr>
          <w:p w14:paraId="7D8DD6B3">
            <w:pPr>
              <w:spacing w:beforeLines="0" w:afterLines="0"/>
              <w:jc w:val="center"/>
              <w:rPr>
                <w:rFonts w:hint="default"/>
                <w:sz w:val="24"/>
                <w:szCs w:val="24"/>
              </w:rPr>
            </w:pPr>
            <w:r>
              <w:rPr>
                <w:rFonts w:hint="default"/>
                <w:sz w:val="24"/>
                <w:szCs w:val="24"/>
              </w:rPr>
              <w:t>-0.0100</w:t>
            </w:r>
          </w:p>
        </w:tc>
        <w:tc>
          <w:tcPr>
            <w:tcW w:w="733" w:type="pct"/>
            <w:tcBorders>
              <w:top w:val="nil"/>
              <w:left w:val="nil"/>
              <w:bottom w:val="nil"/>
              <w:right w:val="nil"/>
              <w:tl2br w:val="nil"/>
              <w:tr2bl w:val="nil"/>
            </w:tcBorders>
            <w:noWrap w:val="0"/>
            <w:vAlign w:val="top"/>
          </w:tcPr>
          <w:p w14:paraId="58704C7E">
            <w:pPr>
              <w:spacing w:beforeLines="0" w:afterLines="0"/>
              <w:jc w:val="center"/>
              <w:rPr>
                <w:rFonts w:hint="default"/>
                <w:sz w:val="24"/>
                <w:szCs w:val="24"/>
              </w:rPr>
            </w:pPr>
            <w:r>
              <w:rPr>
                <w:rFonts w:hint="default"/>
                <w:sz w:val="24"/>
                <w:szCs w:val="24"/>
              </w:rPr>
              <w:t>0.129</w:t>
            </w:r>
          </w:p>
        </w:tc>
        <w:tc>
          <w:tcPr>
            <w:tcW w:w="733" w:type="pct"/>
            <w:tcBorders>
              <w:top w:val="nil"/>
              <w:left w:val="nil"/>
              <w:bottom w:val="nil"/>
              <w:right w:val="nil"/>
              <w:tl2br w:val="nil"/>
              <w:tr2bl w:val="nil"/>
            </w:tcBorders>
            <w:noWrap w:val="0"/>
            <w:vAlign w:val="top"/>
          </w:tcPr>
          <w:p w14:paraId="72725644">
            <w:pPr>
              <w:spacing w:beforeLines="0" w:afterLines="0"/>
              <w:jc w:val="center"/>
              <w:rPr>
                <w:rFonts w:hint="default"/>
                <w:sz w:val="24"/>
                <w:szCs w:val="24"/>
              </w:rPr>
            </w:pPr>
            <w:r>
              <w:rPr>
                <w:rFonts w:hint="default"/>
                <w:sz w:val="24"/>
                <w:szCs w:val="24"/>
              </w:rPr>
              <w:t>-0.729</w:t>
            </w:r>
          </w:p>
        </w:tc>
        <w:tc>
          <w:tcPr>
            <w:tcW w:w="733" w:type="pct"/>
            <w:tcBorders>
              <w:top w:val="nil"/>
              <w:left w:val="nil"/>
              <w:bottom w:val="nil"/>
              <w:right w:val="nil"/>
              <w:tl2br w:val="nil"/>
              <w:tr2bl w:val="nil"/>
            </w:tcBorders>
            <w:noWrap w:val="0"/>
            <w:vAlign w:val="top"/>
          </w:tcPr>
          <w:p w14:paraId="78936749">
            <w:pPr>
              <w:spacing w:beforeLines="0" w:afterLines="0"/>
              <w:jc w:val="center"/>
              <w:rPr>
                <w:rFonts w:hint="default"/>
                <w:sz w:val="24"/>
                <w:szCs w:val="24"/>
              </w:rPr>
            </w:pPr>
            <w:r>
              <w:rPr>
                <w:rFonts w:hint="default"/>
                <w:sz w:val="24"/>
                <w:szCs w:val="24"/>
              </w:rPr>
              <w:t>2.544</w:t>
            </w:r>
          </w:p>
        </w:tc>
      </w:tr>
      <w:tr w14:paraId="1D3F5D4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98" w:type="pct"/>
            <w:tcBorders>
              <w:top w:val="nil"/>
              <w:left w:val="nil"/>
              <w:bottom w:val="nil"/>
              <w:right w:val="nil"/>
              <w:tl2br w:val="nil"/>
              <w:tr2bl w:val="nil"/>
            </w:tcBorders>
            <w:noWrap w:val="0"/>
            <w:vAlign w:val="top"/>
          </w:tcPr>
          <w:p w14:paraId="00B76DBD">
            <w:pPr>
              <w:spacing w:beforeLines="0" w:afterLines="0"/>
              <w:jc w:val="left"/>
              <w:rPr>
                <w:rFonts w:hint="default"/>
                <w:sz w:val="24"/>
                <w:szCs w:val="24"/>
              </w:rPr>
            </w:pPr>
            <w:r>
              <w:rPr>
                <w:rFonts w:hint="default"/>
                <w:sz w:val="24"/>
                <w:szCs w:val="24"/>
              </w:rPr>
              <w:t>mkt</w:t>
            </w:r>
          </w:p>
        </w:tc>
        <w:tc>
          <w:tcPr>
            <w:tcW w:w="550" w:type="pct"/>
            <w:tcBorders>
              <w:top w:val="nil"/>
              <w:left w:val="nil"/>
              <w:bottom w:val="nil"/>
              <w:right w:val="nil"/>
              <w:tl2br w:val="nil"/>
              <w:tr2bl w:val="nil"/>
            </w:tcBorders>
            <w:noWrap w:val="0"/>
            <w:vAlign w:val="top"/>
          </w:tcPr>
          <w:p w14:paraId="3B23B4C8">
            <w:pPr>
              <w:spacing w:beforeLines="0" w:afterLines="0"/>
              <w:jc w:val="center"/>
              <w:rPr>
                <w:rFonts w:hint="default"/>
                <w:sz w:val="24"/>
                <w:szCs w:val="24"/>
              </w:rPr>
            </w:pPr>
            <w:r>
              <w:rPr>
                <w:rFonts w:hint="default"/>
                <w:sz w:val="24"/>
                <w:szCs w:val="24"/>
              </w:rPr>
              <w:t>14400</w:t>
            </w:r>
          </w:p>
        </w:tc>
        <w:tc>
          <w:tcPr>
            <w:tcW w:w="825" w:type="pct"/>
            <w:tcBorders>
              <w:top w:val="nil"/>
              <w:left w:val="nil"/>
              <w:bottom w:val="nil"/>
              <w:right w:val="nil"/>
              <w:tl2br w:val="nil"/>
              <w:tr2bl w:val="nil"/>
            </w:tcBorders>
            <w:noWrap w:val="0"/>
            <w:vAlign w:val="top"/>
          </w:tcPr>
          <w:p w14:paraId="62969E44">
            <w:pPr>
              <w:spacing w:beforeLines="0" w:afterLines="0"/>
              <w:jc w:val="center"/>
              <w:rPr>
                <w:rFonts w:hint="default"/>
                <w:sz w:val="24"/>
                <w:szCs w:val="24"/>
              </w:rPr>
            </w:pPr>
            <w:r>
              <w:rPr>
                <w:rFonts w:hint="default"/>
                <w:sz w:val="24"/>
                <w:szCs w:val="24"/>
              </w:rPr>
              <w:t>-0.00100</w:t>
            </w:r>
          </w:p>
        </w:tc>
        <w:tc>
          <w:tcPr>
            <w:tcW w:w="825" w:type="pct"/>
            <w:tcBorders>
              <w:top w:val="nil"/>
              <w:left w:val="nil"/>
              <w:bottom w:val="nil"/>
              <w:right w:val="nil"/>
              <w:tl2br w:val="nil"/>
              <w:tr2bl w:val="nil"/>
            </w:tcBorders>
            <w:noWrap w:val="0"/>
            <w:vAlign w:val="top"/>
          </w:tcPr>
          <w:p w14:paraId="7AF5ABD6">
            <w:pPr>
              <w:spacing w:beforeLines="0" w:afterLines="0"/>
              <w:jc w:val="center"/>
              <w:rPr>
                <w:rFonts w:hint="default"/>
                <w:sz w:val="24"/>
                <w:szCs w:val="24"/>
              </w:rPr>
            </w:pPr>
            <w:r>
              <w:rPr>
                <w:rFonts w:hint="default"/>
                <w:sz w:val="24"/>
                <w:szCs w:val="24"/>
              </w:rPr>
              <w:t>-0.00100</w:t>
            </w:r>
          </w:p>
        </w:tc>
        <w:tc>
          <w:tcPr>
            <w:tcW w:w="733" w:type="pct"/>
            <w:tcBorders>
              <w:top w:val="nil"/>
              <w:left w:val="nil"/>
              <w:bottom w:val="nil"/>
              <w:right w:val="nil"/>
              <w:tl2br w:val="nil"/>
              <w:tr2bl w:val="nil"/>
            </w:tcBorders>
            <w:noWrap w:val="0"/>
            <w:vAlign w:val="top"/>
          </w:tcPr>
          <w:p w14:paraId="0E84FBFF">
            <w:pPr>
              <w:spacing w:beforeLines="0" w:afterLines="0"/>
              <w:jc w:val="center"/>
              <w:rPr>
                <w:rFonts w:hint="default"/>
                <w:sz w:val="24"/>
                <w:szCs w:val="24"/>
              </w:rPr>
            </w:pPr>
            <w:r>
              <w:rPr>
                <w:rFonts w:hint="default"/>
                <w:sz w:val="24"/>
                <w:szCs w:val="24"/>
              </w:rPr>
              <w:t>0.0580</w:t>
            </w:r>
          </w:p>
        </w:tc>
        <w:tc>
          <w:tcPr>
            <w:tcW w:w="733" w:type="pct"/>
            <w:tcBorders>
              <w:top w:val="nil"/>
              <w:left w:val="nil"/>
              <w:bottom w:val="nil"/>
              <w:right w:val="nil"/>
              <w:tl2br w:val="nil"/>
              <w:tr2bl w:val="nil"/>
            </w:tcBorders>
            <w:noWrap w:val="0"/>
            <w:vAlign w:val="top"/>
          </w:tcPr>
          <w:p w14:paraId="19D0FFDD">
            <w:pPr>
              <w:spacing w:beforeLines="0" w:afterLines="0"/>
              <w:jc w:val="center"/>
              <w:rPr>
                <w:rFonts w:hint="default"/>
                <w:sz w:val="24"/>
                <w:szCs w:val="24"/>
              </w:rPr>
            </w:pPr>
            <w:r>
              <w:rPr>
                <w:rFonts w:hint="default"/>
                <w:sz w:val="24"/>
                <w:szCs w:val="24"/>
              </w:rPr>
              <w:t>-0.113</w:t>
            </w:r>
          </w:p>
        </w:tc>
        <w:tc>
          <w:tcPr>
            <w:tcW w:w="733" w:type="pct"/>
            <w:tcBorders>
              <w:top w:val="nil"/>
              <w:left w:val="nil"/>
              <w:bottom w:val="nil"/>
              <w:right w:val="nil"/>
              <w:tl2br w:val="nil"/>
              <w:tr2bl w:val="nil"/>
            </w:tcBorders>
            <w:noWrap w:val="0"/>
            <w:vAlign w:val="top"/>
          </w:tcPr>
          <w:p w14:paraId="0F550083">
            <w:pPr>
              <w:spacing w:beforeLines="0" w:afterLines="0"/>
              <w:jc w:val="center"/>
              <w:rPr>
                <w:rFonts w:hint="default"/>
                <w:sz w:val="24"/>
                <w:szCs w:val="24"/>
              </w:rPr>
            </w:pPr>
            <w:r>
              <w:rPr>
                <w:rFonts w:hint="default"/>
                <w:sz w:val="24"/>
                <w:szCs w:val="24"/>
              </w:rPr>
              <w:t>0.209</w:t>
            </w:r>
          </w:p>
        </w:tc>
      </w:tr>
      <w:tr w14:paraId="57E101C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98" w:type="pct"/>
            <w:tcBorders>
              <w:top w:val="nil"/>
              <w:left w:val="nil"/>
              <w:bottom w:val="nil"/>
              <w:right w:val="nil"/>
              <w:tl2br w:val="nil"/>
              <w:tr2bl w:val="nil"/>
            </w:tcBorders>
            <w:noWrap w:val="0"/>
            <w:vAlign w:val="top"/>
          </w:tcPr>
          <w:p w14:paraId="0BC8C8AF">
            <w:pPr>
              <w:spacing w:beforeLines="0" w:afterLines="0"/>
              <w:jc w:val="left"/>
              <w:rPr>
                <w:rFonts w:hint="default"/>
                <w:sz w:val="24"/>
                <w:szCs w:val="24"/>
              </w:rPr>
            </w:pPr>
            <w:r>
              <w:rPr>
                <w:rFonts w:hint="default"/>
                <w:sz w:val="24"/>
                <w:szCs w:val="24"/>
              </w:rPr>
              <w:t>smb</w:t>
            </w:r>
          </w:p>
        </w:tc>
        <w:tc>
          <w:tcPr>
            <w:tcW w:w="550" w:type="pct"/>
            <w:tcBorders>
              <w:top w:val="nil"/>
              <w:left w:val="nil"/>
              <w:bottom w:val="nil"/>
              <w:right w:val="nil"/>
              <w:tl2br w:val="nil"/>
              <w:tr2bl w:val="nil"/>
            </w:tcBorders>
            <w:noWrap w:val="0"/>
            <w:vAlign w:val="top"/>
          </w:tcPr>
          <w:p w14:paraId="5A10D1E3">
            <w:pPr>
              <w:spacing w:beforeLines="0" w:afterLines="0"/>
              <w:jc w:val="center"/>
              <w:rPr>
                <w:rFonts w:hint="default"/>
                <w:sz w:val="24"/>
                <w:szCs w:val="24"/>
              </w:rPr>
            </w:pPr>
            <w:r>
              <w:rPr>
                <w:rFonts w:hint="default"/>
                <w:sz w:val="24"/>
                <w:szCs w:val="24"/>
              </w:rPr>
              <w:t>14400</w:t>
            </w:r>
          </w:p>
        </w:tc>
        <w:tc>
          <w:tcPr>
            <w:tcW w:w="825" w:type="pct"/>
            <w:tcBorders>
              <w:top w:val="nil"/>
              <w:left w:val="nil"/>
              <w:bottom w:val="nil"/>
              <w:right w:val="nil"/>
              <w:tl2br w:val="nil"/>
              <w:tr2bl w:val="nil"/>
            </w:tcBorders>
            <w:noWrap w:val="0"/>
            <w:vAlign w:val="top"/>
          </w:tcPr>
          <w:p w14:paraId="41BBAE1A">
            <w:pPr>
              <w:spacing w:beforeLines="0" w:afterLines="0"/>
              <w:jc w:val="center"/>
              <w:rPr>
                <w:rFonts w:hint="default"/>
                <w:sz w:val="24"/>
                <w:szCs w:val="24"/>
              </w:rPr>
            </w:pPr>
            <w:r>
              <w:rPr>
                <w:rFonts w:hint="default"/>
                <w:sz w:val="24"/>
                <w:szCs w:val="24"/>
              </w:rPr>
              <w:t>0.00700</w:t>
            </w:r>
          </w:p>
        </w:tc>
        <w:tc>
          <w:tcPr>
            <w:tcW w:w="825" w:type="pct"/>
            <w:tcBorders>
              <w:top w:val="nil"/>
              <w:left w:val="nil"/>
              <w:bottom w:val="nil"/>
              <w:right w:val="nil"/>
              <w:tl2br w:val="nil"/>
              <w:tr2bl w:val="nil"/>
            </w:tcBorders>
            <w:noWrap w:val="0"/>
            <w:vAlign w:val="top"/>
          </w:tcPr>
          <w:p w14:paraId="336193F9">
            <w:pPr>
              <w:spacing w:beforeLines="0" w:afterLines="0"/>
              <w:jc w:val="center"/>
              <w:rPr>
                <w:rFonts w:hint="default"/>
                <w:sz w:val="24"/>
                <w:szCs w:val="24"/>
              </w:rPr>
            </w:pPr>
            <w:r>
              <w:rPr>
                <w:rFonts w:hint="default"/>
                <w:sz w:val="24"/>
                <w:szCs w:val="24"/>
              </w:rPr>
              <w:t>0.00600</w:t>
            </w:r>
          </w:p>
        </w:tc>
        <w:tc>
          <w:tcPr>
            <w:tcW w:w="733" w:type="pct"/>
            <w:tcBorders>
              <w:top w:val="nil"/>
              <w:left w:val="nil"/>
              <w:bottom w:val="nil"/>
              <w:right w:val="nil"/>
              <w:tl2br w:val="nil"/>
              <w:tr2bl w:val="nil"/>
            </w:tcBorders>
            <w:noWrap w:val="0"/>
            <w:vAlign w:val="top"/>
          </w:tcPr>
          <w:p w14:paraId="58AE9A1B">
            <w:pPr>
              <w:spacing w:beforeLines="0" w:afterLines="0"/>
              <w:jc w:val="center"/>
              <w:rPr>
                <w:rFonts w:hint="default"/>
                <w:sz w:val="24"/>
                <w:szCs w:val="24"/>
              </w:rPr>
            </w:pPr>
            <w:r>
              <w:rPr>
                <w:rFonts w:hint="default"/>
                <w:sz w:val="24"/>
                <w:szCs w:val="24"/>
              </w:rPr>
              <w:t>0.0360</w:t>
            </w:r>
          </w:p>
        </w:tc>
        <w:tc>
          <w:tcPr>
            <w:tcW w:w="733" w:type="pct"/>
            <w:tcBorders>
              <w:top w:val="nil"/>
              <w:left w:val="nil"/>
              <w:bottom w:val="nil"/>
              <w:right w:val="nil"/>
              <w:tl2br w:val="nil"/>
              <w:tr2bl w:val="nil"/>
            </w:tcBorders>
            <w:noWrap w:val="0"/>
            <w:vAlign w:val="top"/>
          </w:tcPr>
          <w:p w14:paraId="3C72821A">
            <w:pPr>
              <w:spacing w:beforeLines="0" w:afterLines="0"/>
              <w:jc w:val="center"/>
              <w:rPr>
                <w:rFonts w:hint="default"/>
                <w:sz w:val="24"/>
                <w:szCs w:val="24"/>
              </w:rPr>
            </w:pPr>
            <w:r>
              <w:rPr>
                <w:rFonts w:hint="default"/>
                <w:sz w:val="24"/>
                <w:szCs w:val="24"/>
              </w:rPr>
              <w:t>-0.0970</w:t>
            </w:r>
          </w:p>
        </w:tc>
        <w:tc>
          <w:tcPr>
            <w:tcW w:w="733" w:type="pct"/>
            <w:tcBorders>
              <w:top w:val="nil"/>
              <w:left w:val="nil"/>
              <w:bottom w:val="nil"/>
              <w:right w:val="nil"/>
              <w:tl2br w:val="nil"/>
              <w:tr2bl w:val="nil"/>
            </w:tcBorders>
            <w:noWrap w:val="0"/>
            <w:vAlign w:val="top"/>
          </w:tcPr>
          <w:p w14:paraId="686ABEAD">
            <w:pPr>
              <w:spacing w:beforeLines="0" w:afterLines="0"/>
              <w:jc w:val="center"/>
              <w:rPr>
                <w:rFonts w:hint="default"/>
                <w:sz w:val="24"/>
                <w:szCs w:val="24"/>
              </w:rPr>
            </w:pPr>
            <w:r>
              <w:rPr>
                <w:rFonts w:hint="default"/>
                <w:sz w:val="24"/>
                <w:szCs w:val="24"/>
              </w:rPr>
              <w:t>0.0890</w:t>
            </w:r>
          </w:p>
        </w:tc>
      </w:tr>
      <w:tr w14:paraId="6BB0B9C7">
        <w:tblPrEx>
          <w:tblBorders>
            <w:top w:val="none" w:color="auto" w:sz="0" w:space="0"/>
            <w:left w:val="none" w:color="auto" w:sz="0" w:space="0"/>
            <w:bottom w:val="single" w:color="auto" w:sz="6"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98" w:type="pct"/>
            <w:tcBorders>
              <w:top w:val="nil"/>
              <w:left w:val="nil"/>
              <w:bottom w:val="single" w:color="auto" w:sz="6" w:space="0"/>
              <w:right w:val="nil"/>
              <w:tl2br w:val="nil"/>
              <w:tr2bl w:val="nil"/>
            </w:tcBorders>
            <w:noWrap w:val="0"/>
            <w:vAlign w:val="top"/>
          </w:tcPr>
          <w:p w14:paraId="49B66977">
            <w:pPr>
              <w:spacing w:beforeLines="0" w:afterLines="0"/>
              <w:jc w:val="left"/>
              <w:rPr>
                <w:rFonts w:hint="default"/>
                <w:sz w:val="24"/>
                <w:szCs w:val="24"/>
              </w:rPr>
            </w:pPr>
            <w:r>
              <w:rPr>
                <w:rFonts w:hint="default"/>
                <w:sz w:val="24"/>
                <w:szCs w:val="24"/>
              </w:rPr>
              <w:t>hml</w:t>
            </w:r>
          </w:p>
        </w:tc>
        <w:tc>
          <w:tcPr>
            <w:tcW w:w="550" w:type="pct"/>
            <w:tcBorders>
              <w:top w:val="nil"/>
              <w:left w:val="nil"/>
              <w:bottom w:val="single" w:color="auto" w:sz="6" w:space="0"/>
              <w:right w:val="nil"/>
              <w:tl2br w:val="nil"/>
              <w:tr2bl w:val="nil"/>
            </w:tcBorders>
            <w:noWrap w:val="0"/>
            <w:vAlign w:val="top"/>
          </w:tcPr>
          <w:p w14:paraId="6B0406BF">
            <w:pPr>
              <w:spacing w:beforeLines="0" w:afterLines="0"/>
              <w:jc w:val="center"/>
              <w:rPr>
                <w:rFonts w:hint="default"/>
                <w:sz w:val="24"/>
                <w:szCs w:val="24"/>
              </w:rPr>
            </w:pPr>
            <w:r>
              <w:rPr>
                <w:rFonts w:hint="default"/>
                <w:sz w:val="24"/>
                <w:szCs w:val="24"/>
              </w:rPr>
              <w:t>14400</w:t>
            </w:r>
          </w:p>
        </w:tc>
        <w:tc>
          <w:tcPr>
            <w:tcW w:w="825" w:type="pct"/>
            <w:tcBorders>
              <w:top w:val="nil"/>
              <w:left w:val="nil"/>
              <w:bottom w:val="single" w:color="auto" w:sz="6" w:space="0"/>
              <w:right w:val="nil"/>
              <w:tl2br w:val="nil"/>
              <w:tr2bl w:val="nil"/>
            </w:tcBorders>
            <w:noWrap w:val="0"/>
            <w:vAlign w:val="top"/>
          </w:tcPr>
          <w:p w14:paraId="217D0862">
            <w:pPr>
              <w:spacing w:beforeLines="0" w:afterLines="0"/>
              <w:jc w:val="center"/>
              <w:rPr>
                <w:rFonts w:hint="default"/>
                <w:sz w:val="24"/>
                <w:szCs w:val="24"/>
              </w:rPr>
            </w:pPr>
            <w:r>
              <w:rPr>
                <w:rFonts w:hint="default"/>
                <w:sz w:val="24"/>
                <w:szCs w:val="24"/>
              </w:rPr>
              <w:t>0.00100</w:t>
            </w:r>
          </w:p>
        </w:tc>
        <w:tc>
          <w:tcPr>
            <w:tcW w:w="825" w:type="pct"/>
            <w:tcBorders>
              <w:top w:val="nil"/>
              <w:left w:val="nil"/>
              <w:bottom w:val="single" w:color="auto" w:sz="6" w:space="0"/>
              <w:right w:val="nil"/>
              <w:tl2br w:val="nil"/>
              <w:tr2bl w:val="nil"/>
            </w:tcBorders>
            <w:noWrap w:val="0"/>
            <w:vAlign w:val="top"/>
          </w:tcPr>
          <w:p w14:paraId="7EF7FD4B">
            <w:pPr>
              <w:spacing w:beforeLines="0" w:afterLines="0"/>
              <w:jc w:val="center"/>
              <w:rPr>
                <w:rFonts w:hint="default"/>
                <w:sz w:val="24"/>
                <w:szCs w:val="24"/>
              </w:rPr>
            </w:pPr>
            <w:r>
              <w:rPr>
                <w:rFonts w:hint="default"/>
                <w:sz w:val="24"/>
                <w:szCs w:val="24"/>
              </w:rPr>
              <w:t>-0.00100</w:t>
            </w:r>
          </w:p>
        </w:tc>
        <w:tc>
          <w:tcPr>
            <w:tcW w:w="733" w:type="pct"/>
            <w:tcBorders>
              <w:top w:val="nil"/>
              <w:left w:val="nil"/>
              <w:bottom w:val="single" w:color="auto" w:sz="6" w:space="0"/>
              <w:right w:val="nil"/>
              <w:tl2br w:val="nil"/>
              <w:tr2bl w:val="nil"/>
            </w:tcBorders>
            <w:noWrap w:val="0"/>
            <w:vAlign w:val="top"/>
          </w:tcPr>
          <w:p w14:paraId="0B9FDACE">
            <w:pPr>
              <w:spacing w:beforeLines="0" w:afterLines="0"/>
              <w:jc w:val="center"/>
              <w:rPr>
                <w:rFonts w:hint="default"/>
                <w:sz w:val="24"/>
                <w:szCs w:val="24"/>
              </w:rPr>
            </w:pPr>
            <w:r>
              <w:rPr>
                <w:rFonts w:hint="default"/>
                <w:sz w:val="24"/>
                <w:szCs w:val="24"/>
              </w:rPr>
              <w:t>0.0290</w:t>
            </w:r>
          </w:p>
        </w:tc>
        <w:tc>
          <w:tcPr>
            <w:tcW w:w="733" w:type="pct"/>
            <w:tcBorders>
              <w:top w:val="nil"/>
              <w:left w:val="nil"/>
              <w:bottom w:val="single" w:color="auto" w:sz="6" w:space="0"/>
              <w:right w:val="nil"/>
              <w:tl2br w:val="nil"/>
              <w:tr2bl w:val="nil"/>
            </w:tcBorders>
            <w:noWrap w:val="0"/>
            <w:vAlign w:val="top"/>
          </w:tcPr>
          <w:p w14:paraId="0CFB0AC9">
            <w:pPr>
              <w:spacing w:beforeLines="0" w:afterLines="0"/>
              <w:jc w:val="center"/>
              <w:rPr>
                <w:rFonts w:hint="default"/>
                <w:sz w:val="24"/>
                <w:szCs w:val="24"/>
              </w:rPr>
            </w:pPr>
            <w:r>
              <w:rPr>
                <w:rFonts w:hint="default"/>
                <w:sz w:val="24"/>
                <w:szCs w:val="24"/>
              </w:rPr>
              <w:t>-0.0680</w:t>
            </w:r>
          </w:p>
        </w:tc>
        <w:tc>
          <w:tcPr>
            <w:tcW w:w="733" w:type="pct"/>
            <w:tcBorders>
              <w:top w:val="nil"/>
              <w:left w:val="nil"/>
              <w:bottom w:val="single" w:color="auto" w:sz="6" w:space="0"/>
              <w:right w:val="nil"/>
              <w:tl2br w:val="nil"/>
              <w:tr2bl w:val="nil"/>
            </w:tcBorders>
            <w:noWrap w:val="0"/>
            <w:vAlign w:val="top"/>
          </w:tcPr>
          <w:p w14:paraId="66D66572">
            <w:pPr>
              <w:spacing w:beforeLines="0" w:afterLines="0"/>
              <w:jc w:val="center"/>
              <w:rPr>
                <w:rFonts w:hint="default"/>
                <w:sz w:val="24"/>
                <w:szCs w:val="24"/>
              </w:rPr>
            </w:pPr>
            <w:r>
              <w:rPr>
                <w:rFonts w:hint="default"/>
                <w:sz w:val="24"/>
                <w:szCs w:val="24"/>
              </w:rPr>
              <w:t>0.0900</w:t>
            </w:r>
          </w:p>
        </w:tc>
      </w:tr>
    </w:tbl>
    <w:p w14:paraId="5870495A">
      <w:pPr>
        <w:numPr>
          <w:ilvl w:val="0"/>
          <w:numId w:val="0"/>
        </w:numPr>
        <w:rPr>
          <w:rFonts w:hint="eastAsia"/>
          <w:lang w:val="en-US" w:eastAsia="zh-CN"/>
        </w:rPr>
      </w:pPr>
    </w:p>
    <w:p w14:paraId="2FD228CC">
      <w:pPr>
        <w:numPr>
          <w:ilvl w:val="0"/>
          <w:numId w:val="0"/>
        </w:numPr>
        <w:rPr>
          <w:rFonts w:hint="eastAsia"/>
          <w:lang w:val="en-US" w:eastAsia="zh-CN"/>
        </w:rPr>
      </w:pPr>
      <w:r>
        <w:rPr>
          <w:rFonts w:hint="eastAsia"/>
          <w:lang w:val="en-US" w:eastAsia="zh-CN"/>
        </w:rPr>
        <w:t>表2 相关性分析</w:t>
      </w:r>
    </w:p>
    <w:tbl>
      <w:tblPr>
        <w:tblStyle w:val="2"/>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51"/>
        <w:gridCol w:w="1008"/>
        <w:gridCol w:w="1008"/>
        <w:gridCol w:w="1008"/>
        <w:gridCol w:w="641"/>
      </w:tblGrid>
      <w:tr w14:paraId="1229923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651" w:type="dxa"/>
            <w:tcBorders>
              <w:top w:val="single" w:color="auto" w:sz="6" w:space="0"/>
              <w:left w:val="nil"/>
              <w:bottom w:val="nil"/>
              <w:right w:val="nil"/>
              <w:tl2br w:val="nil"/>
              <w:tr2bl w:val="nil"/>
            </w:tcBorders>
            <w:noWrap w:val="0"/>
            <w:vAlign w:val="top"/>
          </w:tcPr>
          <w:p w14:paraId="0BD4C89B">
            <w:pPr>
              <w:spacing w:beforeLines="0" w:afterLines="0"/>
              <w:jc w:val="left"/>
              <w:rPr>
                <w:rFonts w:hint="default"/>
                <w:sz w:val="24"/>
                <w:szCs w:val="24"/>
              </w:rPr>
            </w:pPr>
          </w:p>
        </w:tc>
        <w:tc>
          <w:tcPr>
            <w:tcW w:w="1008" w:type="dxa"/>
            <w:tcBorders>
              <w:top w:val="single" w:color="auto" w:sz="6" w:space="0"/>
              <w:left w:val="nil"/>
              <w:bottom w:val="nil"/>
              <w:right w:val="nil"/>
              <w:tl2br w:val="nil"/>
              <w:tr2bl w:val="nil"/>
            </w:tcBorders>
            <w:shd w:val="clear" w:color="auto" w:fill="auto"/>
            <w:noWrap w:val="0"/>
            <w:vAlign w:val="top"/>
          </w:tcPr>
          <w:p w14:paraId="7E4B7E14">
            <w:pPr>
              <w:spacing w:beforeLines="0" w:afterLines="0"/>
              <w:jc w:val="left"/>
              <w:rPr>
                <w:rFonts w:hint="default" w:asciiTheme="minorHAnsi" w:hAnsiTheme="minorHAnsi" w:eastAsiaTheme="minorEastAsia" w:cstheme="minorBidi"/>
                <w:kern w:val="2"/>
                <w:sz w:val="24"/>
                <w:szCs w:val="24"/>
                <w:lang w:val="en-US" w:eastAsia="zh-CN" w:bidi="ar-SA"/>
              </w:rPr>
            </w:pPr>
            <w:r>
              <w:rPr>
                <w:rFonts w:hint="default"/>
                <w:sz w:val="24"/>
                <w:szCs w:val="24"/>
              </w:rPr>
              <w:t>ri rf</w:t>
            </w:r>
          </w:p>
        </w:tc>
        <w:tc>
          <w:tcPr>
            <w:tcW w:w="1008" w:type="dxa"/>
            <w:tcBorders>
              <w:top w:val="single" w:color="auto" w:sz="6" w:space="0"/>
              <w:left w:val="nil"/>
              <w:bottom w:val="nil"/>
              <w:right w:val="nil"/>
              <w:tl2br w:val="nil"/>
              <w:tr2bl w:val="nil"/>
            </w:tcBorders>
            <w:shd w:val="clear" w:color="auto" w:fill="auto"/>
            <w:noWrap w:val="0"/>
            <w:vAlign w:val="top"/>
          </w:tcPr>
          <w:p w14:paraId="368FCFAF">
            <w:pPr>
              <w:spacing w:beforeLines="0" w:afterLines="0"/>
              <w:jc w:val="center"/>
              <w:rPr>
                <w:rFonts w:hint="default" w:asciiTheme="minorHAnsi" w:hAnsiTheme="minorHAnsi" w:eastAsiaTheme="minorEastAsia" w:cstheme="minorBidi"/>
                <w:kern w:val="2"/>
                <w:sz w:val="24"/>
                <w:szCs w:val="24"/>
                <w:lang w:val="en-US" w:eastAsia="zh-CN" w:bidi="ar-SA"/>
              </w:rPr>
            </w:pPr>
            <w:r>
              <w:rPr>
                <w:rFonts w:hint="default"/>
                <w:sz w:val="24"/>
                <w:szCs w:val="24"/>
              </w:rPr>
              <w:t>mkt</w:t>
            </w:r>
          </w:p>
        </w:tc>
        <w:tc>
          <w:tcPr>
            <w:tcW w:w="1008" w:type="dxa"/>
            <w:tcBorders>
              <w:top w:val="single" w:color="auto" w:sz="6" w:space="0"/>
              <w:left w:val="nil"/>
              <w:bottom w:val="nil"/>
              <w:right w:val="nil"/>
              <w:tl2br w:val="nil"/>
              <w:tr2bl w:val="nil"/>
            </w:tcBorders>
            <w:shd w:val="clear" w:color="auto" w:fill="auto"/>
            <w:noWrap w:val="0"/>
            <w:vAlign w:val="top"/>
          </w:tcPr>
          <w:p w14:paraId="3DAB8918">
            <w:pPr>
              <w:spacing w:beforeLines="0" w:afterLines="0"/>
              <w:jc w:val="center"/>
              <w:rPr>
                <w:rFonts w:hint="default" w:asciiTheme="minorHAnsi" w:hAnsiTheme="minorHAnsi" w:eastAsiaTheme="minorEastAsia" w:cstheme="minorBidi"/>
                <w:kern w:val="2"/>
                <w:sz w:val="24"/>
                <w:szCs w:val="24"/>
                <w:lang w:val="en-US" w:eastAsia="zh-CN" w:bidi="ar-SA"/>
              </w:rPr>
            </w:pPr>
            <w:r>
              <w:rPr>
                <w:rFonts w:hint="default"/>
                <w:sz w:val="24"/>
                <w:szCs w:val="24"/>
              </w:rPr>
              <w:t>smb</w:t>
            </w:r>
          </w:p>
        </w:tc>
        <w:tc>
          <w:tcPr>
            <w:tcW w:w="641" w:type="dxa"/>
            <w:tcBorders>
              <w:top w:val="single" w:color="auto" w:sz="6" w:space="0"/>
              <w:left w:val="nil"/>
              <w:bottom w:val="nil"/>
              <w:right w:val="nil"/>
              <w:tl2br w:val="nil"/>
              <w:tr2bl w:val="nil"/>
            </w:tcBorders>
            <w:shd w:val="clear" w:color="auto" w:fill="auto"/>
            <w:noWrap w:val="0"/>
            <w:vAlign w:val="top"/>
          </w:tcPr>
          <w:p w14:paraId="3FEF44B9">
            <w:pPr>
              <w:spacing w:beforeLines="0" w:afterLines="0"/>
              <w:jc w:val="center"/>
              <w:rPr>
                <w:rFonts w:hint="default" w:asciiTheme="minorHAnsi" w:hAnsiTheme="minorHAnsi" w:eastAsiaTheme="minorEastAsia" w:cstheme="minorBidi"/>
                <w:kern w:val="2"/>
                <w:sz w:val="24"/>
                <w:szCs w:val="24"/>
                <w:lang w:val="en-US" w:eastAsia="zh-CN" w:bidi="ar-SA"/>
              </w:rPr>
            </w:pPr>
            <w:r>
              <w:rPr>
                <w:rFonts w:hint="default"/>
                <w:sz w:val="24"/>
                <w:szCs w:val="24"/>
              </w:rPr>
              <w:t>hml</w:t>
            </w:r>
          </w:p>
        </w:tc>
      </w:tr>
      <w:tr w14:paraId="1F0D98D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651" w:type="dxa"/>
            <w:tcBorders>
              <w:top w:val="nil"/>
              <w:left w:val="nil"/>
              <w:bottom w:val="single" w:color="auto" w:sz="6" w:space="0"/>
              <w:right w:val="nil"/>
              <w:tl2br w:val="nil"/>
              <w:tr2bl w:val="nil"/>
            </w:tcBorders>
            <w:noWrap w:val="0"/>
            <w:vAlign w:val="top"/>
          </w:tcPr>
          <w:p w14:paraId="194CBBAA">
            <w:pPr>
              <w:spacing w:beforeLines="0" w:afterLines="0"/>
              <w:jc w:val="left"/>
              <w:rPr>
                <w:rFonts w:hint="default"/>
                <w:sz w:val="24"/>
                <w:szCs w:val="24"/>
              </w:rPr>
            </w:pPr>
            <w:r>
              <w:rPr>
                <w:rFonts w:hint="default"/>
                <w:sz w:val="24"/>
                <w:szCs w:val="24"/>
              </w:rPr>
              <w:t>ri rf</w:t>
            </w:r>
          </w:p>
        </w:tc>
        <w:tc>
          <w:tcPr>
            <w:tcW w:w="1008" w:type="dxa"/>
            <w:tcBorders>
              <w:top w:val="nil"/>
              <w:left w:val="nil"/>
              <w:bottom w:val="single" w:color="auto" w:sz="6" w:space="0"/>
              <w:right w:val="nil"/>
              <w:tl2br w:val="nil"/>
              <w:tr2bl w:val="nil"/>
            </w:tcBorders>
            <w:noWrap w:val="0"/>
            <w:vAlign w:val="top"/>
          </w:tcPr>
          <w:p w14:paraId="020C4132">
            <w:pPr>
              <w:spacing w:beforeLines="0" w:afterLines="0"/>
              <w:jc w:val="center"/>
              <w:rPr>
                <w:rFonts w:hint="default"/>
                <w:sz w:val="24"/>
                <w:szCs w:val="24"/>
              </w:rPr>
            </w:pPr>
            <w:r>
              <w:rPr>
                <w:rFonts w:hint="default"/>
                <w:sz w:val="24"/>
                <w:szCs w:val="24"/>
              </w:rPr>
              <w:t>1</w:t>
            </w:r>
          </w:p>
        </w:tc>
        <w:tc>
          <w:tcPr>
            <w:tcW w:w="1008" w:type="dxa"/>
            <w:tcBorders>
              <w:top w:val="nil"/>
              <w:left w:val="nil"/>
              <w:bottom w:val="single" w:color="auto" w:sz="6" w:space="0"/>
              <w:right w:val="nil"/>
              <w:tl2br w:val="nil"/>
              <w:tr2bl w:val="nil"/>
            </w:tcBorders>
            <w:noWrap w:val="0"/>
            <w:vAlign w:val="top"/>
          </w:tcPr>
          <w:p w14:paraId="01230573">
            <w:pPr>
              <w:spacing w:beforeLines="0" w:afterLines="0"/>
              <w:jc w:val="center"/>
              <w:rPr>
                <w:rFonts w:hint="default"/>
                <w:sz w:val="24"/>
                <w:szCs w:val="24"/>
              </w:rPr>
            </w:pPr>
          </w:p>
        </w:tc>
        <w:tc>
          <w:tcPr>
            <w:tcW w:w="1008" w:type="dxa"/>
            <w:tcBorders>
              <w:top w:val="nil"/>
              <w:left w:val="nil"/>
              <w:bottom w:val="single" w:color="auto" w:sz="6" w:space="0"/>
              <w:right w:val="nil"/>
              <w:tl2br w:val="nil"/>
              <w:tr2bl w:val="nil"/>
            </w:tcBorders>
            <w:noWrap w:val="0"/>
            <w:vAlign w:val="top"/>
          </w:tcPr>
          <w:p w14:paraId="71CD4CCF">
            <w:pPr>
              <w:spacing w:beforeLines="0" w:afterLines="0"/>
              <w:jc w:val="center"/>
              <w:rPr>
                <w:rFonts w:hint="default"/>
                <w:sz w:val="24"/>
                <w:szCs w:val="24"/>
              </w:rPr>
            </w:pPr>
          </w:p>
        </w:tc>
        <w:tc>
          <w:tcPr>
            <w:tcW w:w="641" w:type="dxa"/>
            <w:tcBorders>
              <w:top w:val="nil"/>
              <w:left w:val="nil"/>
              <w:bottom w:val="single" w:color="auto" w:sz="6" w:space="0"/>
              <w:right w:val="nil"/>
              <w:tl2br w:val="nil"/>
              <w:tr2bl w:val="nil"/>
            </w:tcBorders>
            <w:noWrap w:val="0"/>
            <w:vAlign w:val="top"/>
          </w:tcPr>
          <w:p w14:paraId="6552426B">
            <w:pPr>
              <w:spacing w:beforeLines="0" w:afterLines="0"/>
              <w:jc w:val="center"/>
              <w:rPr>
                <w:rFonts w:hint="default"/>
                <w:sz w:val="24"/>
                <w:szCs w:val="24"/>
              </w:rPr>
            </w:pPr>
          </w:p>
        </w:tc>
      </w:tr>
      <w:tr w14:paraId="002CCB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651" w:type="dxa"/>
            <w:tcBorders>
              <w:top w:val="nil"/>
              <w:left w:val="nil"/>
              <w:bottom w:val="nil"/>
              <w:right w:val="nil"/>
              <w:tl2br w:val="nil"/>
              <w:tr2bl w:val="nil"/>
            </w:tcBorders>
            <w:noWrap w:val="0"/>
            <w:vAlign w:val="top"/>
          </w:tcPr>
          <w:p w14:paraId="474EF84A">
            <w:pPr>
              <w:spacing w:beforeLines="0" w:afterLines="0"/>
              <w:jc w:val="left"/>
              <w:rPr>
                <w:rFonts w:hint="default"/>
                <w:sz w:val="24"/>
                <w:szCs w:val="24"/>
              </w:rPr>
            </w:pPr>
            <w:r>
              <w:rPr>
                <w:rFonts w:hint="default"/>
                <w:sz w:val="24"/>
                <w:szCs w:val="24"/>
              </w:rPr>
              <w:t>mkt</w:t>
            </w:r>
          </w:p>
        </w:tc>
        <w:tc>
          <w:tcPr>
            <w:tcW w:w="1008" w:type="dxa"/>
            <w:tcBorders>
              <w:top w:val="nil"/>
              <w:left w:val="nil"/>
              <w:bottom w:val="nil"/>
              <w:right w:val="nil"/>
              <w:tl2br w:val="nil"/>
              <w:tr2bl w:val="nil"/>
            </w:tcBorders>
            <w:noWrap w:val="0"/>
            <w:vAlign w:val="top"/>
          </w:tcPr>
          <w:p w14:paraId="4C07F710">
            <w:pPr>
              <w:spacing w:beforeLines="0" w:afterLines="0"/>
              <w:jc w:val="center"/>
              <w:rPr>
                <w:rFonts w:hint="default"/>
                <w:sz w:val="24"/>
                <w:szCs w:val="24"/>
              </w:rPr>
            </w:pPr>
            <w:r>
              <w:rPr>
                <w:rFonts w:hint="default"/>
                <w:sz w:val="24"/>
                <w:szCs w:val="24"/>
              </w:rPr>
              <w:t>0.370</w:t>
            </w:r>
          </w:p>
        </w:tc>
        <w:tc>
          <w:tcPr>
            <w:tcW w:w="1008" w:type="dxa"/>
            <w:tcBorders>
              <w:top w:val="nil"/>
              <w:left w:val="nil"/>
              <w:bottom w:val="nil"/>
              <w:right w:val="nil"/>
              <w:tl2br w:val="nil"/>
              <w:tr2bl w:val="nil"/>
            </w:tcBorders>
            <w:noWrap w:val="0"/>
            <w:vAlign w:val="top"/>
          </w:tcPr>
          <w:p w14:paraId="112471C0">
            <w:pPr>
              <w:spacing w:beforeLines="0" w:afterLines="0"/>
              <w:jc w:val="center"/>
              <w:rPr>
                <w:rFonts w:hint="default"/>
                <w:sz w:val="24"/>
                <w:szCs w:val="24"/>
              </w:rPr>
            </w:pPr>
            <w:r>
              <w:rPr>
                <w:rFonts w:hint="default"/>
                <w:sz w:val="24"/>
                <w:szCs w:val="24"/>
              </w:rPr>
              <w:t>1</w:t>
            </w:r>
          </w:p>
        </w:tc>
        <w:tc>
          <w:tcPr>
            <w:tcW w:w="1008" w:type="dxa"/>
            <w:tcBorders>
              <w:top w:val="nil"/>
              <w:left w:val="nil"/>
              <w:bottom w:val="nil"/>
              <w:right w:val="nil"/>
              <w:tl2br w:val="nil"/>
              <w:tr2bl w:val="nil"/>
            </w:tcBorders>
            <w:noWrap w:val="0"/>
            <w:vAlign w:val="top"/>
          </w:tcPr>
          <w:p w14:paraId="02D8E799">
            <w:pPr>
              <w:spacing w:beforeLines="0" w:afterLines="0"/>
              <w:jc w:val="center"/>
              <w:rPr>
                <w:rFonts w:hint="default"/>
                <w:sz w:val="24"/>
                <w:szCs w:val="24"/>
              </w:rPr>
            </w:pPr>
          </w:p>
        </w:tc>
        <w:tc>
          <w:tcPr>
            <w:tcW w:w="641" w:type="dxa"/>
            <w:tcBorders>
              <w:top w:val="nil"/>
              <w:left w:val="nil"/>
              <w:bottom w:val="nil"/>
              <w:right w:val="nil"/>
              <w:tl2br w:val="nil"/>
              <w:tr2bl w:val="nil"/>
            </w:tcBorders>
            <w:noWrap w:val="0"/>
            <w:vAlign w:val="top"/>
          </w:tcPr>
          <w:p w14:paraId="3CE22EFE">
            <w:pPr>
              <w:spacing w:beforeLines="0" w:afterLines="0"/>
              <w:jc w:val="center"/>
              <w:rPr>
                <w:rFonts w:hint="default"/>
                <w:sz w:val="24"/>
                <w:szCs w:val="24"/>
              </w:rPr>
            </w:pPr>
          </w:p>
        </w:tc>
      </w:tr>
      <w:tr w14:paraId="52EEB25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651" w:type="dxa"/>
            <w:tcBorders>
              <w:top w:val="nil"/>
              <w:left w:val="nil"/>
              <w:bottom w:val="nil"/>
              <w:right w:val="nil"/>
              <w:tl2br w:val="nil"/>
              <w:tr2bl w:val="nil"/>
            </w:tcBorders>
            <w:noWrap w:val="0"/>
            <w:vAlign w:val="top"/>
          </w:tcPr>
          <w:p w14:paraId="2410B3BA">
            <w:pPr>
              <w:spacing w:beforeLines="0" w:afterLines="0"/>
              <w:jc w:val="left"/>
              <w:rPr>
                <w:rFonts w:hint="default"/>
                <w:sz w:val="24"/>
                <w:szCs w:val="24"/>
              </w:rPr>
            </w:pPr>
            <w:r>
              <w:rPr>
                <w:rFonts w:hint="default"/>
                <w:sz w:val="24"/>
                <w:szCs w:val="24"/>
              </w:rPr>
              <w:t>smb</w:t>
            </w:r>
          </w:p>
        </w:tc>
        <w:tc>
          <w:tcPr>
            <w:tcW w:w="1008" w:type="dxa"/>
            <w:tcBorders>
              <w:top w:val="nil"/>
              <w:left w:val="nil"/>
              <w:bottom w:val="nil"/>
              <w:right w:val="nil"/>
              <w:tl2br w:val="nil"/>
              <w:tr2bl w:val="nil"/>
            </w:tcBorders>
            <w:noWrap w:val="0"/>
            <w:vAlign w:val="top"/>
          </w:tcPr>
          <w:p w14:paraId="69B0CC42">
            <w:pPr>
              <w:spacing w:beforeLines="0" w:afterLines="0"/>
              <w:jc w:val="center"/>
              <w:rPr>
                <w:rFonts w:hint="default"/>
                <w:sz w:val="24"/>
                <w:szCs w:val="24"/>
              </w:rPr>
            </w:pPr>
            <w:r>
              <w:rPr>
                <w:rFonts w:hint="default"/>
                <w:sz w:val="24"/>
                <w:szCs w:val="24"/>
              </w:rPr>
              <w:t>0.132</w:t>
            </w:r>
          </w:p>
        </w:tc>
        <w:tc>
          <w:tcPr>
            <w:tcW w:w="1008" w:type="dxa"/>
            <w:tcBorders>
              <w:top w:val="nil"/>
              <w:left w:val="nil"/>
              <w:bottom w:val="nil"/>
              <w:right w:val="nil"/>
              <w:tl2br w:val="nil"/>
              <w:tr2bl w:val="nil"/>
            </w:tcBorders>
            <w:noWrap w:val="0"/>
            <w:vAlign w:val="top"/>
          </w:tcPr>
          <w:p w14:paraId="6C57F571">
            <w:pPr>
              <w:spacing w:beforeLines="0" w:afterLines="0"/>
              <w:jc w:val="center"/>
              <w:rPr>
                <w:rFonts w:hint="default"/>
                <w:sz w:val="24"/>
                <w:szCs w:val="24"/>
              </w:rPr>
            </w:pPr>
            <w:r>
              <w:rPr>
                <w:rFonts w:hint="default"/>
                <w:sz w:val="24"/>
                <w:szCs w:val="24"/>
              </w:rPr>
              <w:t>0.0124</w:t>
            </w:r>
          </w:p>
        </w:tc>
        <w:tc>
          <w:tcPr>
            <w:tcW w:w="1008" w:type="dxa"/>
            <w:tcBorders>
              <w:top w:val="nil"/>
              <w:left w:val="nil"/>
              <w:bottom w:val="nil"/>
              <w:right w:val="nil"/>
              <w:tl2br w:val="nil"/>
              <w:tr2bl w:val="nil"/>
            </w:tcBorders>
            <w:noWrap w:val="0"/>
            <w:vAlign w:val="top"/>
          </w:tcPr>
          <w:p w14:paraId="7124D081">
            <w:pPr>
              <w:spacing w:beforeLines="0" w:afterLines="0"/>
              <w:jc w:val="center"/>
              <w:rPr>
                <w:rFonts w:hint="default"/>
                <w:sz w:val="24"/>
                <w:szCs w:val="24"/>
              </w:rPr>
            </w:pPr>
            <w:r>
              <w:rPr>
                <w:rFonts w:hint="default"/>
                <w:sz w:val="24"/>
                <w:szCs w:val="24"/>
              </w:rPr>
              <w:t>1</w:t>
            </w:r>
          </w:p>
        </w:tc>
        <w:tc>
          <w:tcPr>
            <w:tcW w:w="641" w:type="dxa"/>
            <w:tcBorders>
              <w:top w:val="nil"/>
              <w:left w:val="nil"/>
              <w:bottom w:val="nil"/>
              <w:right w:val="nil"/>
              <w:tl2br w:val="nil"/>
              <w:tr2bl w:val="nil"/>
            </w:tcBorders>
            <w:noWrap w:val="0"/>
            <w:vAlign w:val="top"/>
          </w:tcPr>
          <w:p w14:paraId="4BEA645E">
            <w:pPr>
              <w:spacing w:beforeLines="0" w:afterLines="0"/>
              <w:jc w:val="center"/>
              <w:rPr>
                <w:rFonts w:hint="default"/>
                <w:sz w:val="24"/>
                <w:szCs w:val="24"/>
              </w:rPr>
            </w:pPr>
          </w:p>
        </w:tc>
      </w:tr>
      <w:tr w14:paraId="1F39140A">
        <w:tblPrEx>
          <w:tblBorders>
            <w:top w:val="none" w:color="auto" w:sz="0" w:space="0"/>
            <w:left w:val="none" w:color="auto" w:sz="0" w:space="0"/>
            <w:bottom w:val="single" w:color="auto" w:sz="6"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651" w:type="dxa"/>
            <w:tcBorders>
              <w:top w:val="nil"/>
              <w:left w:val="nil"/>
              <w:bottom w:val="single" w:color="auto" w:sz="6" w:space="0"/>
              <w:right w:val="nil"/>
              <w:tl2br w:val="nil"/>
              <w:tr2bl w:val="nil"/>
            </w:tcBorders>
            <w:noWrap w:val="0"/>
            <w:vAlign w:val="top"/>
          </w:tcPr>
          <w:p w14:paraId="66351CFE">
            <w:pPr>
              <w:spacing w:beforeLines="0" w:afterLines="0"/>
              <w:jc w:val="left"/>
              <w:rPr>
                <w:rFonts w:hint="default"/>
                <w:sz w:val="24"/>
                <w:szCs w:val="24"/>
              </w:rPr>
            </w:pPr>
            <w:r>
              <w:rPr>
                <w:rFonts w:hint="default"/>
                <w:sz w:val="24"/>
                <w:szCs w:val="24"/>
              </w:rPr>
              <w:t>hml</w:t>
            </w:r>
          </w:p>
        </w:tc>
        <w:tc>
          <w:tcPr>
            <w:tcW w:w="1008" w:type="dxa"/>
            <w:tcBorders>
              <w:top w:val="nil"/>
              <w:left w:val="nil"/>
              <w:bottom w:val="single" w:color="auto" w:sz="6" w:space="0"/>
              <w:right w:val="nil"/>
              <w:tl2br w:val="nil"/>
              <w:tr2bl w:val="nil"/>
            </w:tcBorders>
            <w:noWrap w:val="0"/>
            <w:vAlign w:val="top"/>
          </w:tcPr>
          <w:p w14:paraId="0D881423">
            <w:pPr>
              <w:spacing w:beforeLines="0" w:afterLines="0"/>
              <w:jc w:val="center"/>
              <w:rPr>
                <w:rFonts w:hint="default"/>
                <w:sz w:val="24"/>
                <w:szCs w:val="24"/>
              </w:rPr>
            </w:pPr>
            <w:r>
              <w:rPr>
                <w:rFonts w:hint="default"/>
                <w:sz w:val="24"/>
                <w:szCs w:val="24"/>
              </w:rPr>
              <w:t>0.0217</w:t>
            </w:r>
          </w:p>
        </w:tc>
        <w:tc>
          <w:tcPr>
            <w:tcW w:w="1008" w:type="dxa"/>
            <w:tcBorders>
              <w:top w:val="nil"/>
              <w:left w:val="nil"/>
              <w:bottom w:val="single" w:color="auto" w:sz="6" w:space="0"/>
              <w:right w:val="nil"/>
              <w:tl2br w:val="nil"/>
              <w:tr2bl w:val="nil"/>
            </w:tcBorders>
            <w:noWrap w:val="0"/>
            <w:vAlign w:val="top"/>
          </w:tcPr>
          <w:p w14:paraId="57858BA8">
            <w:pPr>
              <w:spacing w:beforeLines="0" w:afterLines="0"/>
              <w:jc w:val="center"/>
              <w:rPr>
                <w:rFonts w:hint="default"/>
                <w:sz w:val="24"/>
                <w:szCs w:val="24"/>
              </w:rPr>
            </w:pPr>
            <w:r>
              <w:rPr>
                <w:rFonts w:hint="default"/>
                <w:sz w:val="24"/>
                <w:szCs w:val="24"/>
              </w:rPr>
              <w:t>-0.346</w:t>
            </w:r>
          </w:p>
        </w:tc>
        <w:tc>
          <w:tcPr>
            <w:tcW w:w="1008" w:type="dxa"/>
            <w:tcBorders>
              <w:top w:val="nil"/>
              <w:left w:val="nil"/>
              <w:bottom w:val="single" w:color="auto" w:sz="6" w:space="0"/>
              <w:right w:val="nil"/>
              <w:tl2br w:val="nil"/>
              <w:tr2bl w:val="nil"/>
            </w:tcBorders>
            <w:noWrap w:val="0"/>
            <w:vAlign w:val="top"/>
          </w:tcPr>
          <w:p w14:paraId="12017B1F">
            <w:pPr>
              <w:spacing w:beforeLines="0" w:afterLines="0"/>
              <w:jc w:val="center"/>
              <w:rPr>
                <w:rFonts w:hint="default"/>
                <w:sz w:val="24"/>
                <w:szCs w:val="24"/>
              </w:rPr>
            </w:pPr>
            <w:r>
              <w:rPr>
                <w:rFonts w:hint="default"/>
                <w:sz w:val="24"/>
                <w:szCs w:val="24"/>
              </w:rPr>
              <w:t>0.0760</w:t>
            </w:r>
          </w:p>
        </w:tc>
        <w:tc>
          <w:tcPr>
            <w:tcW w:w="641" w:type="dxa"/>
            <w:tcBorders>
              <w:top w:val="nil"/>
              <w:left w:val="nil"/>
              <w:bottom w:val="single" w:color="auto" w:sz="6" w:space="0"/>
              <w:right w:val="nil"/>
              <w:tl2br w:val="nil"/>
              <w:tr2bl w:val="nil"/>
            </w:tcBorders>
            <w:noWrap w:val="0"/>
            <w:vAlign w:val="top"/>
          </w:tcPr>
          <w:p w14:paraId="527B7923">
            <w:pPr>
              <w:spacing w:beforeLines="0" w:afterLines="0"/>
              <w:jc w:val="center"/>
              <w:rPr>
                <w:rFonts w:hint="default"/>
                <w:sz w:val="24"/>
                <w:szCs w:val="24"/>
              </w:rPr>
            </w:pPr>
            <w:r>
              <w:rPr>
                <w:rFonts w:hint="default"/>
                <w:sz w:val="24"/>
                <w:szCs w:val="24"/>
              </w:rPr>
              <w:t>1</w:t>
            </w:r>
          </w:p>
        </w:tc>
      </w:tr>
    </w:tbl>
    <w:p w14:paraId="246D2DE5">
      <w:pPr>
        <w:numPr>
          <w:ilvl w:val="0"/>
          <w:numId w:val="0"/>
        </w:numPr>
        <w:rPr>
          <w:rFonts w:hint="eastAsia"/>
          <w:lang w:val="en-US" w:eastAsia="zh-CN"/>
        </w:rPr>
      </w:pPr>
    </w:p>
    <w:p w14:paraId="09E9B3E3">
      <w:pPr>
        <w:numPr>
          <w:ilvl w:val="0"/>
          <w:numId w:val="0"/>
        </w:numPr>
        <w:rPr>
          <w:rFonts w:hint="eastAsia"/>
          <w:lang w:val="en-US" w:eastAsia="zh-CN"/>
        </w:rPr>
      </w:pPr>
    </w:p>
    <w:p w14:paraId="1F5BFF92">
      <w:pPr>
        <w:numPr>
          <w:ilvl w:val="0"/>
          <w:numId w:val="0"/>
        </w:numPr>
      </w:pPr>
      <w:r>
        <w:rPr>
          <w:rFonts w:hint="eastAsia"/>
          <w:lang w:val="en-US" w:eastAsia="zh-CN"/>
        </w:rPr>
        <w:t>表3 实证结果</w:t>
      </w:r>
    </w:p>
    <w:tbl>
      <w:tblPr>
        <w:tblStyle w:val="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129"/>
        <w:gridCol w:w="2131"/>
        <w:gridCol w:w="2133"/>
      </w:tblGrid>
      <w:tr w14:paraId="2BD700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9" w:type="pct"/>
            <w:vAlign w:val="center"/>
          </w:tcPr>
          <w:p w14:paraId="14711F55">
            <w:pPr>
              <w:numPr>
                <w:ilvl w:val="0"/>
                <w:numId w:val="0"/>
              </w:numPr>
              <w:jc w:val="center"/>
              <w:rPr>
                <w:rFonts w:hint="eastAsia"/>
                <w:vertAlign w:val="baseline"/>
                <w:lang w:val="en-US" w:eastAsia="zh-CN"/>
              </w:rPr>
            </w:pPr>
          </w:p>
        </w:tc>
        <w:tc>
          <w:tcPr>
            <w:tcW w:w="3750" w:type="pct"/>
            <w:gridSpan w:val="3"/>
            <w:vAlign w:val="center"/>
          </w:tcPr>
          <w:p w14:paraId="3210D0F7">
            <w:pPr>
              <w:numPr>
                <w:ilvl w:val="0"/>
                <w:numId w:val="0"/>
              </w:numPr>
              <w:jc w:val="center"/>
              <w:rPr>
                <w:rFonts w:hint="eastAsia"/>
                <w:vertAlign w:val="baseline"/>
                <w:lang w:val="en-US" w:eastAsia="zh-CN"/>
              </w:rPr>
            </w:pPr>
            <w:r>
              <w:rPr>
                <w:rFonts w:hint="eastAsia"/>
                <w:vertAlign w:val="baseline"/>
                <w:lang w:val="en-US" w:eastAsia="zh-CN"/>
              </w:rPr>
              <w:t>ri_rf</w:t>
            </w:r>
          </w:p>
        </w:tc>
      </w:tr>
      <w:tr w14:paraId="1AA49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9" w:type="pct"/>
            <w:vAlign w:val="center"/>
          </w:tcPr>
          <w:p w14:paraId="7E2769BA">
            <w:pPr>
              <w:numPr>
                <w:ilvl w:val="0"/>
                <w:numId w:val="0"/>
              </w:numPr>
              <w:jc w:val="center"/>
              <w:rPr>
                <w:rFonts w:hint="eastAsia"/>
                <w:vertAlign w:val="baseline"/>
                <w:lang w:val="en-US" w:eastAsia="zh-CN"/>
              </w:rPr>
            </w:pPr>
          </w:p>
        </w:tc>
        <w:tc>
          <w:tcPr>
            <w:tcW w:w="1249" w:type="pct"/>
            <w:vAlign w:val="center"/>
          </w:tcPr>
          <w:p w14:paraId="43A901E1">
            <w:pPr>
              <w:numPr>
                <w:ilvl w:val="0"/>
                <w:numId w:val="0"/>
              </w:numPr>
              <w:jc w:val="center"/>
              <w:rPr>
                <w:rFonts w:hint="default"/>
                <w:vertAlign w:val="baseline"/>
                <w:lang w:val="en-US" w:eastAsia="zh-CN"/>
              </w:rPr>
            </w:pPr>
            <w:r>
              <w:rPr>
                <w:rFonts w:hint="eastAsia"/>
                <w:vertAlign w:val="baseline"/>
                <w:lang w:val="en-US" w:eastAsia="zh-CN"/>
              </w:rPr>
              <w:t>OLS</w:t>
            </w:r>
          </w:p>
        </w:tc>
        <w:tc>
          <w:tcPr>
            <w:tcW w:w="1250" w:type="pct"/>
            <w:vAlign w:val="center"/>
          </w:tcPr>
          <w:p w14:paraId="74818E1E">
            <w:pPr>
              <w:numPr>
                <w:ilvl w:val="0"/>
                <w:numId w:val="0"/>
              </w:numPr>
              <w:jc w:val="center"/>
              <w:rPr>
                <w:rFonts w:hint="default"/>
                <w:vertAlign w:val="baseline"/>
                <w:lang w:val="en-US" w:eastAsia="zh-CN"/>
              </w:rPr>
            </w:pPr>
            <w:r>
              <w:rPr>
                <w:rFonts w:hint="eastAsia"/>
                <w:vertAlign w:val="baseline"/>
                <w:lang w:val="en-US" w:eastAsia="zh-CN"/>
              </w:rPr>
              <w:t>FE</w:t>
            </w:r>
          </w:p>
        </w:tc>
        <w:tc>
          <w:tcPr>
            <w:tcW w:w="1251" w:type="pct"/>
            <w:vAlign w:val="center"/>
          </w:tcPr>
          <w:p w14:paraId="47DF009C">
            <w:pPr>
              <w:numPr>
                <w:ilvl w:val="0"/>
                <w:numId w:val="0"/>
              </w:numPr>
              <w:jc w:val="center"/>
              <w:rPr>
                <w:rFonts w:hint="default"/>
                <w:vertAlign w:val="baseline"/>
                <w:lang w:val="en-US" w:eastAsia="zh-CN"/>
              </w:rPr>
            </w:pPr>
            <w:r>
              <w:rPr>
                <w:rFonts w:hint="eastAsia"/>
                <w:vertAlign w:val="baseline"/>
                <w:lang w:val="en-US" w:eastAsia="zh-CN"/>
              </w:rPr>
              <w:t>RE</w:t>
            </w:r>
          </w:p>
        </w:tc>
      </w:tr>
      <w:tr w14:paraId="51F289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1249" w:type="pct"/>
            <w:vMerge w:val="restart"/>
            <w:vAlign w:val="center"/>
          </w:tcPr>
          <w:p w14:paraId="244EE6BC">
            <w:pPr>
              <w:numPr>
                <w:ilvl w:val="0"/>
                <w:numId w:val="0"/>
              </w:numPr>
              <w:jc w:val="center"/>
              <w:rPr>
                <w:rFonts w:hint="default"/>
                <w:vertAlign w:val="baseline"/>
                <w:lang w:val="en-US" w:eastAsia="zh-CN"/>
              </w:rPr>
            </w:pPr>
            <w:r>
              <w:rPr>
                <w:rFonts w:hint="eastAsia"/>
                <w:vertAlign w:val="baseline"/>
                <w:lang w:val="en-US" w:eastAsia="zh-CN"/>
              </w:rPr>
              <w:t>mkt</w:t>
            </w:r>
          </w:p>
        </w:tc>
        <w:tc>
          <w:tcPr>
            <w:tcW w:w="1249" w:type="pct"/>
            <w:vAlign w:val="center"/>
          </w:tcPr>
          <w:p w14:paraId="1D176367">
            <w:pPr>
              <w:numPr>
                <w:ilvl w:val="0"/>
                <w:numId w:val="0"/>
              </w:numPr>
              <w:jc w:val="center"/>
              <w:rPr>
                <w:rFonts w:hint="default"/>
                <w:vertAlign w:val="baseline"/>
                <w:lang w:val="en-US" w:eastAsia="zh-CN"/>
              </w:rPr>
            </w:pPr>
            <w:r>
              <w:rPr>
                <w:rFonts w:hint="eastAsia"/>
              </w:rPr>
              <w:t>0.424***</w:t>
            </w:r>
          </w:p>
        </w:tc>
        <w:tc>
          <w:tcPr>
            <w:tcW w:w="1250" w:type="pct"/>
            <w:vAlign w:val="center"/>
          </w:tcPr>
          <w:p w14:paraId="54EB4DF3">
            <w:pPr>
              <w:numPr>
                <w:ilvl w:val="0"/>
                <w:numId w:val="0"/>
              </w:numPr>
              <w:jc w:val="center"/>
              <w:rPr>
                <w:rFonts w:hint="eastAsia"/>
                <w:vertAlign w:val="baseline"/>
                <w:lang w:val="en-US" w:eastAsia="zh-CN"/>
              </w:rPr>
            </w:pPr>
            <w:r>
              <w:rPr>
                <w:rFonts w:hint="eastAsia"/>
              </w:rPr>
              <w:t>0.424***</w:t>
            </w:r>
          </w:p>
        </w:tc>
        <w:tc>
          <w:tcPr>
            <w:tcW w:w="1251" w:type="pct"/>
            <w:vAlign w:val="center"/>
          </w:tcPr>
          <w:p w14:paraId="74A67C54">
            <w:pPr>
              <w:numPr>
                <w:ilvl w:val="0"/>
                <w:numId w:val="0"/>
              </w:numPr>
              <w:jc w:val="center"/>
              <w:rPr>
                <w:rFonts w:hint="eastAsia"/>
                <w:vertAlign w:val="baseline"/>
                <w:lang w:val="en-US" w:eastAsia="zh-CN"/>
              </w:rPr>
            </w:pPr>
            <w:r>
              <w:rPr>
                <w:rFonts w:hint="eastAsia"/>
              </w:rPr>
              <w:t>0.424***</w:t>
            </w:r>
          </w:p>
        </w:tc>
      </w:tr>
      <w:tr w14:paraId="0A38E8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9" w:type="pct"/>
            <w:vMerge w:val="continue"/>
            <w:vAlign w:val="center"/>
          </w:tcPr>
          <w:p w14:paraId="6A20EE3D">
            <w:pPr>
              <w:numPr>
                <w:ilvl w:val="0"/>
                <w:numId w:val="0"/>
              </w:numPr>
              <w:jc w:val="center"/>
              <w:rPr>
                <w:rFonts w:hint="default"/>
                <w:vertAlign w:val="baseline"/>
                <w:lang w:val="en-US" w:eastAsia="zh-CN"/>
              </w:rPr>
            </w:pPr>
          </w:p>
        </w:tc>
        <w:tc>
          <w:tcPr>
            <w:tcW w:w="1249" w:type="pct"/>
            <w:vAlign w:val="center"/>
          </w:tcPr>
          <w:p w14:paraId="2423B535">
            <w:pPr>
              <w:numPr>
                <w:ilvl w:val="0"/>
                <w:numId w:val="0"/>
              </w:numPr>
              <w:jc w:val="center"/>
              <w:rPr>
                <w:rFonts w:hint="default"/>
                <w:vertAlign w:val="baseline"/>
                <w:lang w:val="en-US" w:eastAsia="zh-CN"/>
              </w:rPr>
            </w:pPr>
            <w:r>
              <w:rPr>
                <w:rFonts w:hint="eastAsia"/>
                <w:vertAlign w:val="baseline"/>
                <w:lang w:val="en-US" w:eastAsia="zh-CN"/>
              </w:rPr>
              <w:t>(52.52)</w:t>
            </w:r>
          </w:p>
        </w:tc>
        <w:tc>
          <w:tcPr>
            <w:tcW w:w="1250" w:type="pct"/>
            <w:vAlign w:val="center"/>
          </w:tcPr>
          <w:p w14:paraId="4992F14E">
            <w:pPr>
              <w:numPr>
                <w:ilvl w:val="0"/>
                <w:numId w:val="0"/>
              </w:numPr>
              <w:jc w:val="center"/>
              <w:rPr>
                <w:rFonts w:hint="default"/>
                <w:vertAlign w:val="baseline"/>
                <w:lang w:val="en-US" w:eastAsia="zh-CN"/>
              </w:rPr>
            </w:pPr>
            <w:r>
              <w:rPr>
                <w:rFonts w:hint="eastAsia"/>
                <w:vertAlign w:val="baseline"/>
                <w:lang w:val="en-US" w:eastAsia="zh-CN"/>
              </w:rPr>
              <w:t>(52.32)</w:t>
            </w:r>
          </w:p>
        </w:tc>
        <w:tc>
          <w:tcPr>
            <w:tcW w:w="1251" w:type="pct"/>
            <w:vAlign w:val="center"/>
          </w:tcPr>
          <w:p w14:paraId="39DCE59E">
            <w:pPr>
              <w:numPr>
                <w:ilvl w:val="0"/>
                <w:numId w:val="0"/>
              </w:numPr>
              <w:jc w:val="center"/>
              <w:rPr>
                <w:rFonts w:hint="default"/>
                <w:vertAlign w:val="baseline"/>
                <w:lang w:val="en-US" w:eastAsia="zh-CN"/>
              </w:rPr>
            </w:pPr>
            <w:r>
              <w:rPr>
                <w:rFonts w:hint="eastAsia"/>
                <w:vertAlign w:val="baseline"/>
                <w:lang w:val="en-US" w:eastAsia="zh-CN"/>
              </w:rPr>
              <w:t>(52.52)</w:t>
            </w:r>
          </w:p>
        </w:tc>
      </w:tr>
      <w:tr w14:paraId="093936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9" w:type="pct"/>
            <w:vMerge w:val="restart"/>
            <w:vAlign w:val="center"/>
          </w:tcPr>
          <w:p w14:paraId="34976F24">
            <w:pPr>
              <w:numPr>
                <w:ilvl w:val="0"/>
                <w:numId w:val="0"/>
              </w:numPr>
              <w:jc w:val="center"/>
              <w:rPr>
                <w:rFonts w:hint="default"/>
                <w:vertAlign w:val="baseline"/>
                <w:lang w:val="en-US" w:eastAsia="zh-CN"/>
              </w:rPr>
            </w:pPr>
            <w:r>
              <w:rPr>
                <w:rFonts w:hint="eastAsia"/>
                <w:vertAlign w:val="baseline"/>
                <w:lang w:val="en-US" w:eastAsia="zh-CN"/>
              </w:rPr>
              <w:t>smb</w:t>
            </w:r>
          </w:p>
        </w:tc>
        <w:tc>
          <w:tcPr>
            <w:tcW w:w="1249" w:type="pct"/>
            <w:vAlign w:val="center"/>
          </w:tcPr>
          <w:p w14:paraId="205682E7">
            <w:pPr>
              <w:numPr>
                <w:ilvl w:val="0"/>
                <w:numId w:val="0"/>
              </w:numPr>
              <w:ind w:left="0" w:leftChars="0" w:firstLine="0" w:firstLineChars="0"/>
              <w:jc w:val="center"/>
              <w:rPr>
                <w:rFonts w:hint="eastAsia"/>
                <w:vertAlign w:val="baseline"/>
                <w:lang w:val="en-US" w:eastAsia="zh-CN"/>
              </w:rPr>
            </w:pPr>
            <w:r>
              <w:rPr>
                <w:rFonts w:hint="eastAsia"/>
              </w:rPr>
              <w:t>0.114***</w:t>
            </w:r>
          </w:p>
        </w:tc>
        <w:tc>
          <w:tcPr>
            <w:tcW w:w="1250" w:type="pct"/>
            <w:vAlign w:val="center"/>
          </w:tcPr>
          <w:p w14:paraId="486FA4C5">
            <w:pPr>
              <w:numPr>
                <w:ilvl w:val="0"/>
                <w:numId w:val="0"/>
              </w:numPr>
              <w:ind w:left="0" w:leftChars="0" w:firstLine="0" w:firstLineChars="0"/>
              <w:jc w:val="center"/>
              <w:rPr>
                <w:rFonts w:hint="eastAsia"/>
                <w:vertAlign w:val="baseline"/>
                <w:lang w:val="en-US" w:eastAsia="zh-CN"/>
              </w:rPr>
            </w:pPr>
            <w:r>
              <w:rPr>
                <w:rFonts w:hint="eastAsia"/>
              </w:rPr>
              <w:t>0.114***</w:t>
            </w:r>
          </w:p>
        </w:tc>
        <w:tc>
          <w:tcPr>
            <w:tcW w:w="1251" w:type="pct"/>
            <w:vAlign w:val="center"/>
          </w:tcPr>
          <w:p w14:paraId="2C1C65EF">
            <w:pPr>
              <w:numPr>
                <w:ilvl w:val="0"/>
                <w:numId w:val="0"/>
              </w:numPr>
              <w:ind w:left="0" w:leftChars="0" w:firstLine="0" w:firstLineChars="0"/>
              <w:jc w:val="center"/>
              <w:rPr>
                <w:rFonts w:hint="eastAsia"/>
                <w:vertAlign w:val="baseline"/>
                <w:lang w:val="en-US" w:eastAsia="zh-CN"/>
              </w:rPr>
            </w:pPr>
            <w:r>
              <w:rPr>
                <w:rFonts w:hint="eastAsia"/>
              </w:rPr>
              <w:t>0.114***</w:t>
            </w:r>
          </w:p>
        </w:tc>
      </w:tr>
      <w:tr w14:paraId="1AF300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9" w:type="pct"/>
            <w:vMerge w:val="continue"/>
            <w:vAlign w:val="center"/>
          </w:tcPr>
          <w:p w14:paraId="100B9B87">
            <w:pPr>
              <w:numPr>
                <w:ilvl w:val="0"/>
                <w:numId w:val="0"/>
              </w:numPr>
              <w:jc w:val="center"/>
              <w:rPr>
                <w:rFonts w:hint="eastAsia"/>
                <w:vertAlign w:val="baseline"/>
                <w:lang w:val="en-US" w:eastAsia="zh-CN"/>
              </w:rPr>
            </w:pPr>
          </w:p>
        </w:tc>
        <w:tc>
          <w:tcPr>
            <w:tcW w:w="1249" w:type="pct"/>
            <w:vAlign w:val="center"/>
          </w:tcPr>
          <w:p w14:paraId="3F533644">
            <w:pPr>
              <w:numPr>
                <w:ilvl w:val="0"/>
                <w:numId w:val="0"/>
              </w:numPr>
              <w:jc w:val="center"/>
              <w:rPr>
                <w:rFonts w:hint="eastAsia"/>
                <w:vertAlign w:val="baseline"/>
                <w:lang w:val="en-US" w:eastAsia="zh-CN"/>
              </w:rPr>
            </w:pPr>
            <w:r>
              <w:rPr>
                <w:rFonts w:hint="eastAsia"/>
              </w:rPr>
              <w:t>(15.03)</w:t>
            </w:r>
          </w:p>
        </w:tc>
        <w:tc>
          <w:tcPr>
            <w:tcW w:w="1250" w:type="pct"/>
            <w:vAlign w:val="center"/>
          </w:tcPr>
          <w:p w14:paraId="2A4DFCDB">
            <w:pPr>
              <w:numPr>
                <w:ilvl w:val="0"/>
                <w:numId w:val="0"/>
              </w:numPr>
              <w:jc w:val="center"/>
              <w:rPr>
                <w:rFonts w:hint="eastAsia"/>
                <w:vertAlign w:val="baseline"/>
                <w:lang w:val="en-US" w:eastAsia="zh-CN"/>
              </w:rPr>
            </w:pPr>
            <w:r>
              <w:rPr>
                <w:rFonts w:hint="eastAsia"/>
              </w:rPr>
              <w:t>(14.97)</w:t>
            </w:r>
          </w:p>
        </w:tc>
        <w:tc>
          <w:tcPr>
            <w:tcW w:w="1251" w:type="pct"/>
            <w:vAlign w:val="center"/>
          </w:tcPr>
          <w:p w14:paraId="732BA52F">
            <w:pPr>
              <w:numPr>
                <w:ilvl w:val="0"/>
                <w:numId w:val="0"/>
              </w:numPr>
              <w:jc w:val="center"/>
              <w:rPr>
                <w:rFonts w:hint="eastAsia"/>
                <w:vertAlign w:val="baseline"/>
                <w:lang w:val="en-US" w:eastAsia="zh-CN"/>
              </w:rPr>
            </w:pPr>
            <w:r>
              <w:rPr>
                <w:rFonts w:hint="eastAsia"/>
              </w:rPr>
              <w:t>(15.03)</w:t>
            </w:r>
          </w:p>
        </w:tc>
      </w:tr>
      <w:tr w14:paraId="40D846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9" w:type="pct"/>
            <w:vMerge w:val="restart"/>
            <w:vAlign w:val="center"/>
          </w:tcPr>
          <w:p w14:paraId="1F387C47">
            <w:pPr>
              <w:numPr>
                <w:ilvl w:val="0"/>
                <w:numId w:val="0"/>
              </w:numPr>
              <w:jc w:val="center"/>
              <w:rPr>
                <w:rFonts w:hint="default"/>
                <w:vertAlign w:val="baseline"/>
                <w:lang w:val="en-US" w:eastAsia="zh-CN"/>
              </w:rPr>
            </w:pPr>
            <w:r>
              <w:rPr>
                <w:rFonts w:hint="eastAsia"/>
                <w:vertAlign w:val="baseline"/>
                <w:lang w:val="en-US" w:eastAsia="zh-CN"/>
              </w:rPr>
              <w:t>hml</w:t>
            </w:r>
          </w:p>
        </w:tc>
        <w:tc>
          <w:tcPr>
            <w:tcW w:w="1249" w:type="pct"/>
            <w:vAlign w:val="center"/>
          </w:tcPr>
          <w:p w14:paraId="7869D835">
            <w:pPr>
              <w:numPr>
                <w:ilvl w:val="0"/>
                <w:numId w:val="0"/>
              </w:numPr>
              <w:jc w:val="center"/>
              <w:rPr>
                <w:rFonts w:hint="eastAsia"/>
                <w:vertAlign w:val="baseline"/>
                <w:lang w:val="en-US" w:eastAsia="zh-CN"/>
              </w:rPr>
            </w:pPr>
            <w:r>
              <w:rPr>
                <w:rFonts w:hint="eastAsia"/>
              </w:rPr>
              <w:t>0.160***</w:t>
            </w:r>
          </w:p>
        </w:tc>
        <w:tc>
          <w:tcPr>
            <w:tcW w:w="1250" w:type="pct"/>
            <w:vAlign w:val="center"/>
          </w:tcPr>
          <w:p w14:paraId="7E35F9CA">
            <w:pPr>
              <w:numPr>
                <w:ilvl w:val="0"/>
                <w:numId w:val="0"/>
              </w:numPr>
              <w:jc w:val="center"/>
              <w:rPr>
                <w:rFonts w:hint="eastAsia"/>
                <w:vertAlign w:val="baseline"/>
                <w:lang w:val="en-US" w:eastAsia="zh-CN"/>
              </w:rPr>
            </w:pPr>
            <w:r>
              <w:rPr>
                <w:rFonts w:hint="eastAsia"/>
              </w:rPr>
              <w:t>0.160***</w:t>
            </w:r>
          </w:p>
        </w:tc>
        <w:tc>
          <w:tcPr>
            <w:tcW w:w="1251" w:type="pct"/>
            <w:vAlign w:val="center"/>
          </w:tcPr>
          <w:p w14:paraId="233E4AFD">
            <w:pPr>
              <w:numPr>
                <w:ilvl w:val="0"/>
                <w:numId w:val="0"/>
              </w:numPr>
              <w:jc w:val="center"/>
              <w:rPr>
                <w:rFonts w:hint="eastAsia"/>
                <w:vertAlign w:val="baseline"/>
                <w:lang w:val="en-US" w:eastAsia="zh-CN"/>
              </w:rPr>
            </w:pPr>
            <w:r>
              <w:rPr>
                <w:rFonts w:hint="eastAsia"/>
              </w:rPr>
              <w:t>0.160***</w:t>
            </w:r>
          </w:p>
        </w:tc>
      </w:tr>
      <w:tr w14:paraId="67925C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9" w:type="pct"/>
            <w:vMerge w:val="continue"/>
            <w:vAlign w:val="center"/>
          </w:tcPr>
          <w:p w14:paraId="525178A5">
            <w:pPr>
              <w:numPr>
                <w:ilvl w:val="0"/>
                <w:numId w:val="0"/>
              </w:numPr>
              <w:jc w:val="center"/>
              <w:rPr>
                <w:rFonts w:hint="eastAsia"/>
                <w:vertAlign w:val="baseline"/>
                <w:lang w:val="en-US" w:eastAsia="zh-CN"/>
              </w:rPr>
            </w:pPr>
          </w:p>
        </w:tc>
        <w:tc>
          <w:tcPr>
            <w:tcW w:w="1249" w:type="pct"/>
            <w:vAlign w:val="center"/>
          </w:tcPr>
          <w:p w14:paraId="113FEF00">
            <w:pPr>
              <w:numPr>
                <w:ilvl w:val="0"/>
                <w:numId w:val="0"/>
              </w:numPr>
              <w:jc w:val="center"/>
              <w:rPr>
                <w:rFonts w:hint="eastAsia"/>
                <w:vertAlign w:val="baseline"/>
                <w:lang w:val="en-US" w:eastAsia="zh-CN"/>
              </w:rPr>
            </w:pPr>
            <w:r>
              <w:rPr>
                <w:rFonts w:hint="eastAsia"/>
              </w:rPr>
              <w:t>(19.75)</w:t>
            </w:r>
          </w:p>
        </w:tc>
        <w:tc>
          <w:tcPr>
            <w:tcW w:w="1250" w:type="pct"/>
            <w:vAlign w:val="center"/>
          </w:tcPr>
          <w:p w14:paraId="0C8473A6">
            <w:pPr>
              <w:numPr>
                <w:ilvl w:val="0"/>
                <w:numId w:val="0"/>
              </w:numPr>
              <w:jc w:val="center"/>
              <w:rPr>
                <w:rFonts w:hint="eastAsia"/>
                <w:vertAlign w:val="baseline"/>
                <w:lang w:val="en-US" w:eastAsia="zh-CN"/>
              </w:rPr>
            </w:pPr>
            <w:r>
              <w:rPr>
                <w:rFonts w:hint="eastAsia"/>
              </w:rPr>
              <w:t>(19.67)</w:t>
            </w:r>
          </w:p>
        </w:tc>
        <w:tc>
          <w:tcPr>
            <w:tcW w:w="1251" w:type="pct"/>
            <w:vAlign w:val="center"/>
          </w:tcPr>
          <w:p w14:paraId="5DC8A819">
            <w:pPr>
              <w:numPr>
                <w:ilvl w:val="0"/>
                <w:numId w:val="0"/>
              </w:numPr>
              <w:jc w:val="center"/>
              <w:rPr>
                <w:rFonts w:hint="eastAsia"/>
                <w:vertAlign w:val="baseline"/>
                <w:lang w:val="en-US" w:eastAsia="zh-CN"/>
              </w:rPr>
            </w:pPr>
            <w:r>
              <w:rPr>
                <w:rFonts w:hint="eastAsia"/>
              </w:rPr>
              <w:t>(19.75)</w:t>
            </w:r>
          </w:p>
        </w:tc>
      </w:tr>
      <w:tr w14:paraId="687C6D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9" w:type="pct"/>
            <w:vAlign w:val="center"/>
          </w:tcPr>
          <w:p w14:paraId="6C4B1AE0">
            <w:pPr>
              <w:numPr>
                <w:ilvl w:val="0"/>
                <w:numId w:val="0"/>
              </w:numPr>
              <w:jc w:val="center"/>
              <w:rPr>
                <w:rFonts w:hint="default"/>
                <w:vertAlign w:val="baseline"/>
                <w:lang w:val="en-US" w:eastAsia="zh-CN"/>
              </w:rPr>
            </w:pPr>
            <w:r>
              <w:rPr>
                <w:rFonts w:hint="eastAsia"/>
                <w:vertAlign w:val="baseline"/>
                <w:lang w:val="en-US" w:eastAsia="zh-CN"/>
              </w:rPr>
              <w:t>N</w:t>
            </w:r>
          </w:p>
        </w:tc>
        <w:tc>
          <w:tcPr>
            <w:tcW w:w="1249" w:type="pct"/>
            <w:vAlign w:val="center"/>
          </w:tcPr>
          <w:p w14:paraId="11C6B506">
            <w:pPr>
              <w:numPr>
                <w:ilvl w:val="0"/>
                <w:numId w:val="0"/>
              </w:numPr>
              <w:jc w:val="center"/>
              <w:rPr>
                <w:rFonts w:hint="eastAsia"/>
                <w:vertAlign w:val="baseline"/>
                <w:lang w:val="en-US" w:eastAsia="zh-CN"/>
              </w:rPr>
            </w:pPr>
            <w:r>
              <w:rPr>
                <w:rFonts w:hint="eastAsia"/>
                <w:vertAlign w:val="baseline"/>
                <w:lang w:val="en-US" w:eastAsia="zh-CN"/>
              </w:rPr>
              <w:t>14400</w:t>
            </w:r>
          </w:p>
        </w:tc>
        <w:tc>
          <w:tcPr>
            <w:tcW w:w="1250" w:type="pct"/>
            <w:vAlign w:val="center"/>
          </w:tcPr>
          <w:p w14:paraId="6952D380">
            <w:pPr>
              <w:numPr>
                <w:ilvl w:val="0"/>
                <w:numId w:val="0"/>
              </w:numPr>
              <w:jc w:val="center"/>
              <w:rPr>
                <w:rFonts w:hint="eastAsia"/>
                <w:vertAlign w:val="baseline"/>
                <w:lang w:val="en-US" w:eastAsia="zh-CN"/>
              </w:rPr>
            </w:pPr>
            <w:r>
              <w:rPr>
                <w:rFonts w:hint="eastAsia"/>
                <w:vertAlign w:val="baseline"/>
                <w:lang w:val="en-US" w:eastAsia="zh-CN"/>
              </w:rPr>
              <w:t>14400</w:t>
            </w:r>
          </w:p>
        </w:tc>
        <w:tc>
          <w:tcPr>
            <w:tcW w:w="1251" w:type="pct"/>
            <w:vAlign w:val="center"/>
          </w:tcPr>
          <w:p w14:paraId="79A05797">
            <w:pPr>
              <w:numPr>
                <w:ilvl w:val="0"/>
                <w:numId w:val="0"/>
              </w:numPr>
              <w:jc w:val="center"/>
              <w:rPr>
                <w:rFonts w:hint="eastAsia"/>
                <w:vertAlign w:val="baseline"/>
                <w:lang w:val="en-US" w:eastAsia="zh-CN"/>
              </w:rPr>
            </w:pPr>
            <w:r>
              <w:rPr>
                <w:rFonts w:hint="eastAsia"/>
                <w:vertAlign w:val="baseline"/>
                <w:lang w:val="en-US" w:eastAsia="zh-CN"/>
              </w:rPr>
              <w:t>14400</w:t>
            </w:r>
          </w:p>
        </w:tc>
      </w:tr>
      <w:tr w14:paraId="4069B5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9" w:type="pct"/>
            <w:vAlign w:val="center"/>
          </w:tcPr>
          <w:p w14:paraId="31062F34">
            <w:pPr>
              <w:numPr>
                <w:ilvl w:val="0"/>
                <w:numId w:val="0"/>
              </w:numPr>
              <w:jc w:val="center"/>
              <w:rPr>
                <w:rFonts w:hint="eastAsia"/>
                <w:vertAlign w:val="baseline"/>
                <w:lang w:val="en-US" w:eastAsia="zh-CN"/>
              </w:rPr>
            </w:pPr>
            <m:oMathPara>
              <m:oMath>
                <m:sSup>
                  <m:sSupPr>
                    <m:ctrlPr>
                      <w:rPr>
                        <w:rFonts w:ascii="Cambria Math" w:hAnsi="Cambria Math"/>
                        <w:i/>
                        <w:lang w:val="en-US"/>
                      </w:rPr>
                    </m:ctrlPr>
                  </m:sSupPr>
                  <m:e>
                    <m:r>
                      <m:rPr/>
                      <w:rPr>
                        <w:rFonts w:hint="default" w:ascii="Cambria Math" w:hAnsi="Cambria Math"/>
                        <w:lang w:val="en-US" w:eastAsia="zh-CN"/>
                      </w:rPr>
                      <m:t>R</m:t>
                    </m:r>
                    <m:ctrlPr>
                      <w:rPr>
                        <w:rFonts w:ascii="Cambria Math" w:hAnsi="Cambria Math"/>
                        <w:i/>
                        <w:lang w:val="en-US"/>
                      </w:rPr>
                    </m:ctrlPr>
                  </m:e>
                  <m:sup>
                    <m:r>
                      <m:rPr/>
                      <w:rPr>
                        <w:rFonts w:hint="default" w:ascii="Cambria Math" w:hAnsi="Cambria Math"/>
                        <w:lang w:val="en-US" w:eastAsia="zh-CN"/>
                      </w:rPr>
                      <m:t>2</m:t>
                    </m:r>
                    <m:ctrlPr>
                      <w:rPr>
                        <w:rFonts w:ascii="Cambria Math" w:hAnsi="Cambria Math"/>
                        <w:i/>
                        <w:lang w:val="en-US"/>
                      </w:rPr>
                    </m:ctrlPr>
                  </m:sup>
                </m:sSup>
              </m:oMath>
            </m:oMathPara>
          </w:p>
        </w:tc>
        <w:tc>
          <w:tcPr>
            <w:tcW w:w="1249" w:type="pct"/>
            <w:vAlign w:val="center"/>
          </w:tcPr>
          <w:p w14:paraId="4984D5BA">
            <w:pPr>
              <w:numPr>
                <w:ilvl w:val="0"/>
                <w:numId w:val="0"/>
              </w:numPr>
              <w:jc w:val="center"/>
              <w:rPr>
                <w:rFonts w:hint="default"/>
                <w:vertAlign w:val="baseline"/>
                <w:lang w:val="en-US" w:eastAsia="zh-CN"/>
              </w:rPr>
            </w:pPr>
            <w:r>
              <w:rPr>
                <w:rFonts w:hint="eastAsia"/>
                <w:vertAlign w:val="baseline"/>
                <w:lang w:val="en-US" w:eastAsia="zh-CN"/>
              </w:rPr>
              <w:t>0.1755</w:t>
            </w:r>
          </w:p>
        </w:tc>
        <w:tc>
          <w:tcPr>
            <w:tcW w:w="1250" w:type="pct"/>
            <w:vAlign w:val="center"/>
          </w:tcPr>
          <w:p w14:paraId="307E9EC7">
            <w:pPr>
              <w:numPr>
                <w:ilvl w:val="0"/>
                <w:numId w:val="0"/>
              </w:numPr>
              <w:jc w:val="center"/>
              <w:rPr>
                <w:rFonts w:hint="default"/>
                <w:vertAlign w:val="baseline"/>
                <w:lang w:val="en-US" w:eastAsia="zh-CN"/>
              </w:rPr>
            </w:pPr>
            <w:r>
              <w:rPr>
                <w:rFonts w:hint="eastAsia"/>
                <w:vertAlign w:val="baseline"/>
                <w:lang w:val="en-US" w:eastAsia="zh-CN"/>
              </w:rPr>
              <w:t>0.1755</w:t>
            </w:r>
          </w:p>
        </w:tc>
        <w:tc>
          <w:tcPr>
            <w:tcW w:w="1251" w:type="pct"/>
            <w:vAlign w:val="center"/>
          </w:tcPr>
          <w:p w14:paraId="194C0DAA">
            <w:pPr>
              <w:numPr>
                <w:ilvl w:val="0"/>
                <w:numId w:val="0"/>
              </w:numPr>
              <w:jc w:val="center"/>
              <w:rPr>
                <w:rFonts w:hint="default"/>
                <w:vertAlign w:val="baseline"/>
                <w:lang w:val="en-US" w:eastAsia="zh-CN"/>
              </w:rPr>
            </w:pPr>
            <w:r>
              <w:rPr>
                <w:rFonts w:hint="eastAsia"/>
                <w:vertAlign w:val="baseline"/>
                <w:lang w:val="en-US" w:eastAsia="zh-CN"/>
              </w:rPr>
              <w:t>0.1755</w:t>
            </w:r>
          </w:p>
        </w:tc>
      </w:tr>
    </w:tbl>
    <w:p w14:paraId="41C1B542">
      <w:pPr>
        <w:numPr>
          <w:ilvl w:val="0"/>
          <w:numId w:val="0"/>
        </w:numPr>
        <w:ind w:leftChars="0"/>
        <w:rPr>
          <w:rFonts w:hint="eastAsia"/>
          <w:lang w:val="en-US" w:eastAsia="zh-CN"/>
        </w:rPr>
      </w:pPr>
      <w:r>
        <w:rPr>
          <w:rFonts w:hint="eastAsia"/>
          <w:lang w:val="en-US" w:eastAsia="zh-CN"/>
        </w:rPr>
        <w:t>t statistics in parentheses：* p&lt;0.05, ** p&lt;0.01, *** p&lt;0.001</w:t>
      </w:r>
    </w:p>
    <w:p w14:paraId="3DBE88F0">
      <w:pPr>
        <w:numPr>
          <w:ilvl w:val="0"/>
          <w:numId w:val="0"/>
        </w:numPr>
        <w:ind w:leftChars="0"/>
        <w:rPr>
          <w:rFonts w:hint="default"/>
          <w:lang w:val="en-US" w:eastAsia="zh-CN"/>
        </w:rPr>
      </w:pPr>
      <w:r>
        <w:rPr>
          <w:rFonts w:hint="eastAsia"/>
          <w:lang w:val="en-US" w:eastAsia="zh-CN"/>
        </w:rPr>
        <w:t>（2）CAPM模型检验</w:t>
      </w:r>
    </w:p>
    <w:p w14:paraId="28BD7685">
      <w:pPr>
        <w:numPr>
          <w:ilvl w:val="0"/>
          <w:numId w:val="0"/>
        </w:numPr>
        <w:ind w:leftChars="0"/>
        <w:rPr>
          <w:rFonts w:hint="eastAsia"/>
          <w:lang w:val="en-US" w:eastAsia="zh-CN"/>
        </w:rPr>
      </w:pPr>
      <w:r>
        <w:rPr>
          <w:rFonts w:hint="eastAsia"/>
          <w:lang w:val="en-US" w:eastAsia="zh-CN"/>
        </w:rPr>
        <w:t>表4 CAPM模型个股检验结果</w:t>
      </w:r>
    </w:p>
    <w:tbl>
      <w:tblPr>
        <w:tblStyle w:val="3"/>
        <w:tblpPr w:leftFromText="180" w:rightFromText="180" w:vertAnchor="text" w:horzAnchor="page" w:tblpX="1794" w:tblpY="296"/>
        <w:tblOverlap w:val="never"/>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9"/>
        <w:gridCol w:w="1419"/>
        <w:gridCol w:w="1419"/>
        <w:gridCol w:w="1419"/>
        <w:gridCol w:w="1419"/>
        <w:gridCol w:w="1422"/>
      </w:tblGrid>
      <w:tr w14:paraId="3BC487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833" w:type="pct"/>
            <w:vAlign w:val="top"/>
          </w:tcPr>
          <w:p w14:paraId="0B3FCEAB">
            <w:pPr>
              <w:numPr>
                <w:ilvl w:val="0"/>
                <w:numId w:val="0"/>
              </w:numPr>
              <w:jc w:val="center"/>
              <w:rPr>
                <w:rFonts w:hint="default"/>
                <w:vertAlign w:val="baseline"/>
                <w:lang w:val="en-US" w:eastAsia="zh-CN"/>
              </w:rPr>
            </w:pPr>
            <w:r>
              <w:rPr>
                <w:rFonts w:hint="eastAsia"/>
                <w:vertAlign w:val="baseline"/>
                <w:lang w:val="en-US" w:eastAsia="zh-CN"/>
              </w:rPr>
              <w:t>股票代码</w:t>
            </w:r>
          </w:p>
        </w:tc>
        <w:tc>
          <w:tcPr>
            <w:tcW w:w="833" w:type="pct"/>
            <w:vAlign w:val="top"/>
          </w:tcPr>
          <w:p w14:paraId="3F7B707E">
            <w:pPr>
              <w:numPr>
                <w:ilvl w:val="0"/>
                <w:numId w:val="0"/>
              </w:numPr>
              <w:jc w:val="center"/>
              <w:rPr>
                <w:rFonts w:hint="default"/>
                <w:vertAlign w:val="baseline"/>
                <w:lang w:val="en-US" w:eastAsia="zh-CN"/>
              </w:rPr>
            </w:pPr>
            <w:r>
              <w:rPr>
                <w:rFonts w:hint="eastAsia"/>
                <w:vertAlign w:val="baseline"/>
                <w:lang w:val="en-US" w:eastAsia="zh-CN"/>
              </w:rPr>
              <w:t>β</w:t>
            </w:r>
          </w:p>
        </w:tc>
        <w:tc>
          <w:tcPr>
            <w:tcW w:w="833" w:type="pct"/>
            <w:vAlign w:val="top"/>
          </w:tcPr>
          <w:p w14:paraId="33F3AFAD">
            <w:pPr>
              <w:numPr>
                <w:ilvl w:val="0"/>
                <w:numId w:val="0"/>
              </w:numPr>
              <w:jc w:val="center"/>
              <w:rPr>
                <w:rFonts w:hint="default"/>
                <w:vertAlign w:val="baseline"/>
                <w:lang w:val="en-US" w:eastAsia="zh-CN"/>
              </w:rPr>
            </w:pPr>
            <w:r>
              <w:rPr>
                <w:rFonts w:hint="eastAsia"/>
                <w:vertAlign w:val="baseline"/>
                <w:lang w:val="en-US" w:eastAsia="zh-CN"/>
              </w:rPr>
              <w:t>Std.err</w:t>
            </w:r>
          </w:p>
        </w:tc>
        <w:tc>
          <w:tcPr>
            <w:tcW w:w="833" w:type="pct"/>
            <w:vAlign w:val="top"/>
          </w:tcPr>
          <w:p w14:paraId="34645971">
            <w:pPr>
              <w:numPr>
                <w:ilvl w:val="0"/>
                <w:numId w:val="0"/>
              </w:numPr>
              <w:jc w:val="center"/>
              <w:rPr>
                <w:rFonts w:hint="default"/>
                <w:vertAlign w:val="baseline"/>
                <w:lang w:val="en-US" w:eastAsia="zh-CN"/>
              </w:rPr>
            </w:pPr>
            <w:r>
              <w:rPr>
                <w:rFonts w:hint="eastAsia"/>
                <w:vertAlign w:val="baseline"/>
                <w:lang w:val="en-US" w:eastAsia="zh-CN"/>
              </w:rPr>
              <w:t>R-Squared</w:t>
            </w:r>
          </w:p>
        </w:tc>
        <w:tc>
          <w:tcPr>
            <w:tcW w:w="833" w:type="pct"/>
            <w:vAlign w:val="top"/>
          </w:tcPr>
          <w:p w14:paraId="1202B5CA">
            <w:pPr>
              <w:numPr>
                <w:ilvl w:val="0"/>
                <w:numId w:val="0"/>
              </w:numPr>
              <w:jc w:val="center"/>
              <w:rPr>
                <w:rFonts w:hint="default"/>
                <w:vertAlign w:val="baseline"/>
                <w:lang w:val="en-US" w:eastAsia="zh-CN"/>
              </w:rPr>
            </w:pPr>
            <w:r>
              <w:rPr>
                <w:rFonts w:hint="eastAsia"/>
                <w:vertAlign w:val="baseline"/>
                <w:lang w:val="en-US" w:eastAsia="zh-CN"/>
              </w:rPr>
              <w:t>t</w:t>
            </w:r>
          </w:p>
        </w:tc>
        <w:tc>
          <w:tcPr>
            <w:tcW w:w="834" w:type="pct"/>
            <w:vAlign w:val="top"/>
          </w:tcPr>
          <w:p w14:paraId="2925D9CD">
            <w:pPr>
              <w:numPr>
                <w:ilvl w:val="0"/>
                <w:numId w:val="0"/>
              </w:numPr>
              <w:jc w:val="center"/>
              <w:rPr>
                <w:rFonts w:hint="eastAsia"/>
                <w:vertAlign w:val="baseline"/>
                <w:lang w:val="en-US" w:eastAsia="zh-CN"/>
              </w:rPr>
            </w:pPr>
            <w:r>
              <w:rPr>
                <w:rFonts w:hint="eastAsia"/>
                <w:vertAlign w:val="baseline"/>
                <w:lang w:val="en-US" w:eastAsia="zh-CN"/>
              </w:rPr>
              <w:t>P&gt;|t|</w:t>
            </w:r>
          </w:p>
        </w:tc>
      </w:tr>
      <w:tr w14:paraId="538B43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833" w:type="pct"/>
            <w:vAlign w:val="top"/>
          </w:tcPr>
          <w:p w14:paraId="6E666B4D">
            <w:pPr>
              <w:numPr>
                <w:ilvl w:val="0"/>
                <w:numId w:val="0"/>
              </w:numPr>
              <w:jc w:val="center"/>
              <w:rPr>
                <w:rFonts w:hint="default"/>
                <w:vertAlign w:val="baseline"/>
                <w:lang w:val="en-US" w:eastAsia="zh-CN"/>
              </w:rPr>
            </w:pPr>
            <w:r>
              <w:rPr>
                <w:rFonts w:hint="eastAsia"/>
                <w:vertAlign w:val="baseline"/>
                <w:lang w:val="en-US" w:eastAsia="zh-CN"/>
              </w:rPr>
              <w:t>600202</w:t>
            </w:r>
          </w:p>
        </w:tc>
        <w:tc>
          <w:tcPr>
            <w:tcW w:w="833" w:type="pct"/>
            <w:vAlign w:val="top"/>
          </w:tcPr>
          <w:p w14:paraId="5FD2A910">
            <w:pPr>
              <w:numPr>
                <w:ilvl w:val="0"/>
                <w:numId w:val="0"/>
              </w:numPr>
              <w:jc w:val="center"/>
              <w:rPr>
                <w:rFonts w:hint="default"/>
                <w:vertAlign w:val="baseline"/>
                <w:lang w:val="en-US" w:eastAsia="zh-CN"/>
              </w:rPr>
            </w:pPr>
            <w:r>
              <w:rPr>
                <w:rFonts w:hint="eastAsia"/>
                <w:vertAlign w:val="baseline"/>
                <w:lang w:val="en-US" w:eastAsia="zh-CN"/>
              </w:rPr>
              <w:t>1.408868</w:t>
            </w:r>
          </w:p>
        </w:tc>
        <w:tc>
          <w:tcPr>
            <w:tcW w:w="833" w:type="pct"/>
            <w:vAlign w:val="top"/>
          </w:tcPr>
          <w:p w14:paraId="0FBA444F">
            <w:pPr>
              <w:numPr>
                <w:ilvl w:val="0"/>
                <w:numId w:val="0"/>
              </w:numPr>
              <w:jc w:val="center"/>
              <w:rPr>
                <w:rFonts w:hint="default"/>
                <w:vertAlign w:val="baseline"/>
                <w:lang w:val="en-US" w:eastAsia="zh-CN"/>
              </w:rPr>
            </w:pPr>
            <w:r>
              <w:rPr>
                <w:rFonts w:hint="eastAsia"/>
                <w:vertAlign w:val="baseline"/>
                <w:lang w:val="en-US" w:eastAsia="zh-CN"/>
              </w:rPr>
              <w:t>0.2439272</w:t>
            </w:r>
          </w:p>
        </w:tc>
        <w:tc>
          <w:tcPr>
            <w:tcW w:w="833" w:type="pct"/>
            <w:vAlign w:val="top"/>
          </w:tcPr>
          <w:p w14:paraId="54BB83C2">
            <w:pPr>
              <w:numPr>
                <w:ilvl w:val="0"/>
                <w:numId w:val="0"/>
              </w:numPr>
              <w:jc w:val="center"/>
              <w:rPr>
                <w:rFonts w:hint="default"/>
                <w:vertAlign w:val="baseline"/>
                <w:lang w:val="en-US" w:eastAsia="zh-CN"/>
              </w:rPr>
            </w:pPr>
            <w:r>
              <w:rPr>
                <w:rFonts w:hint="eastAsia"/>
                <w:vertAlign w:val="baseline"/>
                <w:lang w:val="en-US" w:eastAsia="zh-CN"/>
              </w:rPr>
              <w:t>0.3228</w:t>
            </w:r>
          </w:p>
        </w:tc>
        <w:tc>
          <w:tcPr>
            <w:tcW w:w="833" w:type="pct"/>
            <w:vAlign w:val="top"/>
          </w:tcPr>
          <w:p w14:paraId="3D697AC6">
            <w:pPr>
              <w:numPr>
                <w:ilvl w:val="0"/>
                <w:numId w:val="0"/>
              </w:numPr>
              <w:jc w:val="center"/>
              <w:rPr>
                <w:rFonts w:hint="default"/>
                <w:vertAlign w:val="baseline"/>
                <w:lang w:val="en-US" w:eastAsia="zh-CN"/>
              </w:rPr>
            </w:pPr>
            <w:r>
              <w:rPr>
                <w:rFonts w:hint="eastAsia"/>
                <w:vertAlign w:val="baseline"/>
                <w:lang w:val="en-US" w:eastAsia="zh-CN"/>
              </w:rPr>
              <w:t>5.78</w:t>
            </w:r>
          </w:p>
        </w:tc>
        <w:tc>
          <w:tcPr>
            <w:tcW w:w="834" w:type="pct"/>
            <w:vAlign w:val="top"/>
          </w:tcPr>
          <w:p w14:paraId="57DB0B7E">
            <w:pPr>
              <w:numPr>
                <w:ilvl w:val="0"/>
                <w:numId w:val="0"/>
              </w:numPr>
              <w:jc w:val="center"/>
              <w:rPr>
                <w:rFonts w:hint="default"/>
                <w:vertAlign w:val="baseline"/>
                <w:lang w:val="en-US" w:eastAsia="zh-CN"/>
              </w:rPr>
            </w:pPr>
            <w:r>
              <w:rPr>
                <w:rFonts w:hint="eastAsia"/>
                <w:vertAlign w:val="baseline"/>
                <w:lang w:val="en-US" w:eastAsia="zh-CN"/>
              </w:rPr>
              <w:t>0.000</w:t>
            </w:r>
          </w:p>
        </w:tc>
      </w:tr>
      <w:tr w14:paraId="267BE3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833" w:type="pct"/>
            <w:vAlign w:val="top"/>
          </w:tcPr>
          <w:p w14:paraId="159C96B6">
            <w:pPr>
              <w:numPr>
                <w:ilvl w:val="0"/>
                <w:numId w:val="0"/>
              </w:numPr>
              <w:jc w:val="center"/>
              <w:rPr>
                <w:rFonts w:hint="default"/>
                <w:vertAlign w:val="baseline"/>
                <w:lang w:val="en-US" w:eastAsia="zh-CN"/>
              </w:rPr>
            </w:pPr>
            <w:r>
              <w:rPr>
                <w:rFonts w:hint="eastAsia"/>
                <w:vertAlign w:val="baseline"/>
                <w:lang w:val="en-US" w:eastAsia="zh-CN"/>
              </w:rPr>
              <w:t>900957</w:t>
            </w:r>
          </w:p>
        </w:tc>
        <w:tc>
          <w:tcPr>
            <w:tcW w:w="833" w:type="pct"/>
            <w:vAlign w:val="top"/>
          </w:tcPr>
          <w:p w14:paraId="3E1D29DE">
            <w:pPr>
              <w:numPr>
                <w:ilvl w:val="0"/>
                <w:numId w:val="0"/>
              </w:numPr>
              <w:jc w:val="center"/>
              <w:rPr>
                <w:rFonts w:hint="default"/>
                <w:vertAlign w:val="baseline"/>
                <w:lang w:val="en-US" w:eastAsia="zh-CN"/>
              </w:rPr>
            </w:pPr>
            <w:r>
              <w:rPr>
                <w:rFonts w:hint="eastAsia"/>
                <w:vertAlign w:val="baseline"/>
                <w:lang w:val="en-US" w:eastAsia="zh-CN"/>
              </w:rPr>
              <w:t>1.103557</w:t>
            </w:r>
          </w:p>
        </w:tc>
        <w:tc>
          <w:tcPr>
            <w:tcW w:w="833" w:type="pct"/>
            <w:vAlign w:val="top"/>
          </w:tcPr>
          <w:p w14:paraId="53B91934">
            <w:pPr>
              <w:numPr>
                <w:ilvl w:val="0"/>
                <w:numId w:val="0"/>
              </w:numPr>
              <w:jc w:val="center"/>
              <w:rPr>
                <w:rFonts w:hint="default"/>
                <w:vertAlign w:val="baseline"/>
                <w:lang w:val="en-US" w:eastAsia="zh-CN"/>
              </w:rPr>
            </w:pPr>
            <w:r>
              <w:rPr>
                <w:rFonts w:hint="eastAsia"/>
                <w:vertAlign w:val="baseline"/>
                <w:lang w:val="en-US" w:eastAsia="zh-CN"/>
              </w:rPr>
              <w:t>0.2019679</w:t>
            </w:r>
          </w:p>
        </w:tc>
        <w:tc>
          <w:tcPr>
            <w:tcW w:w="833" w:type="pct"/>
            <w:vAlign w:val="top"/>
          </w:tcPr>
          <w:p w14:paraId="127097AC">
            <w:pPr>
              <w:numPr>
                <w:ilvl w:val="0"/>
                <w:numId w:val="0"/>
              </w:numPr>
              <w:jc w:val="center"/>
              <w:rPr>
                <w:rFonts w:hint="default"/>
                <w:vertAlign w:val="baseline"/>
                <w:lang w:val="en-US" w:eastAsia="zh-CN"/>
              </w:rPr>
            </w:pPr>
            <w:r>
              <w:rPr>
                <w:rFonts w:hint="eastAsia"/>
                <w:vertAlign w:val="baseline"/>
                <w:lang w:val="en-US" w:eastAsia="zh-CN"/>
              </w:rPr>
              <w:t>0.2931</w:t>
            </w:r>
          </w:p>
        </w:tc>
        <w:tc>
          <w:tcPr>
            <w:tcW w:w="833" w:type="pct"/>
            <w:vAlign w:val="top"/>
          </w:tcPr>
          <w:p w14:paraId="4190EB59">
            <w:pPr>
              <w:numPr>
                <w:ilvl w:val="0"/>
                <w:numId w:val="0"/>
              </w:numPr>
              <w:jc w:val="center"/>
              <w:rPr>
                <w:rFonts w:hint="default"/>
                <w:vertAlign w:val="baseline"/>
                <w:lang w:val="en-US" w:eastAsia="zh-CN"/>
              </w:rPr>
            </w:pPr>
            <w:r>
              <w:rPr>
                <w:rFonts w:hint="eastAsia"/>
                <w:vertAlign w:val="baseline"/>
                <w:lang w:val="en-US" w:eastAsia="zh-CN"/>
              </w:rPr>
              <w:t>5.39</w:t>
            </w:r>
          </w:p>
        </w:tc>
        <w:tc>
          <w:tcPr>
            <w:tcW w:w="834" w:type="pct"/>
            <w:vAlign w:val="top"/>
          </w:tcPr>
          <w:p w14:paraId="7A9F38CD">
            <w:pPr>
              <w:numPr>
                <w:ilvl w:val="0"/>
                <w:numId w:val="0"/>
              </w:numPr>
              <w:jc w:val="center"/>
              <w:rPr>
                <w:rFonts w:hint="default"/>
                <w:vertAlign w:val="baseline"/>
                <w:lang w:val="en-US" w:eastAsia="zh-CN"/>
              </w:rPr>
            </w:pPr>
            <w:r>
              <w:rPr>
                <w:rFonts w:hint="eastAsia"/>
                <w:vertAlign w:val="baseline"/>
                <w:lang w:val="en-US" w:eastAsia="zh-CN"/>
              </w:rPr>
              <w:t>0.000</w:t>
            </w:r>
          </w:p>
        </w:tc>
      </w:tr>
      <w:tr w14:paraId="63ACDC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833" w:type="pct"/>
            <w:vAlign w:val="top"/>
          </w:tcPr>
          <w:p w14:paraId="4DFAFEF9">
            <w:pPr>
              <w:numPr>
                <w:ilvl w:val="0"/>
                <w:numId w:val="0"/>
              </w:numPr>
              <w:jc w:val="center"/>
              <w:rPr>
                <w:rFonts w:hint="default"/>
                <w:vertAlign w:val="baseline"/>
                <w:lang w:val="en-US" w:eastAsia="zh-CN"/>
              </w:rPr>
            </w:pPr>
            <w:r>
              <w:rPr>
                <w:rFonts w:hint="eastAsia"/>
                <w:vertAlign w:val="baseline"/>
                <w:lang w:val="en-US" w:eastAsia="zh-CN"/>
              </w:rPr>
              <w:t>601398</w:t>
            </w:r>
          </w:p>
        </w:tc>
        <w:tc>
          <w:tcPr>
            <w:tcW w:w="833" w:type="pct"/>
            <w:vAlign w:val="top"/>
          </w:tcPr>
          <w:p w14:paraId="59B209D4">
            <w:pPr>
              <w:numPr>
                <w:ilvl w:val="0"/>
                <w:numId w:val="0"/>
              </w:numPr>
              <w:jc w:val="center"/>
              <w:rPr>
                <w:rFonts w:hint="default"/>
                <w:vertAlign w:val="baseline"/>
                <w:lang w:val="en-US" w:eastAsia="zh-CN"/>
              </w:rPr>
            </w:pPr>
            <w:r>
              <w:rPr>
                <w:rFonts w:hint="eastAsia"/>
                <w:vertAlign w:val="baseline"/>
                <w:lang w:val="en-US" w:eastAsia="zh-CN"/>
              </w:rPr>
              <w:t>0.3636335</w:t>
            </w:r>
          </w:p>
        </w:tc>
        <w:tc>
          <w:tcPr>
            <w:tcW w:w="833" w:type="pct"/>
            <w:vAlign w:val="top"/>
          </w:tcPr>
          <w:p w14:paraId="1CF8BA09">
            <w:pPr>
              <w:numPr>
                <w:ilvl w:val="0"/>
                <w:numId w:val="0"/>
              </w:numPr>
              <w:jc w:val="center"/>
              <w:rPr>
                <w:rFonts w:hint="default"/>
                <w:vertAlign w:val="baseline"/>
                <w:lang w:val="en-US" w:eastAsia="zh-CN"/>
              </w:rPr>
            </w:pPr>
            <w:r>
              <w:rPr>
                <w:rFonts w:hint="eastAsia"/>
                <w:vertAlign w:val="baseline"/>
                <w:lang w:val="en-US" w:eastAsia="zh-CN"/>
              </w:rPr>
              <w:t>0.10928</w:t>
            </w:r>
          </w:p>
        </w:tc>
        <w:tc>
          <w:tcPr>
            <w:tcW w:w="833" w:type="pct"/>
            <w:vAlign w:val="top"/>
          </w:tcPr>
          <w:p w14:paraId="1791F1A1">
            <w:pPr>
              <w:numPr>
                <w:ilvl w:val="0"/>
                <w:numId w:val="0"/>
              </w:numPr>
              <w:jc w:val="center"/>
              <w:rPr>
                <w:rFonts w:hint="default"/>
                <w:vertAlign w:val="baseline"/>
                <w:lang w:val="en-US" w:eastAsia="zh-CN"/>
              </w:rPr>
            </w:pPr>
            <w:r>
              <w:rPr>
                <w:rFonts w:hint="eastAsia"/>
                <w:vertAlign w:val="baseline"/>
                <w:lang w:val="en-US" w:eastAsia="zh-CN"/>
              </w:rPr>
              <w:t>0.1366</w:t>
            </w:r>
          </w:p>
        </w:tc>
        <w:tc>
          <w:tcPr>
            <w:tcW w:w="833" w:type="pct"/>
            <w:vAlign w:val="top"/>
          </w:tcPr>
          <w:p w14:paraId="6ADADB4F">
            <w:pPr>
              <w:numPr>
                <w:ilvl w:val="0"/>
                <w:numId w:val="0"/>
              </w:numPr>
              <w:jc w:val="center"/>
              <w:rPr>
                <w:rFonts w:hint="default"/>
                <w:vertAlign w:val="baseline"/>
                <w:lang w:val="en-US" w:eastAsia="zh-CN"/>
              </w:rPr>
            </w:pPr>
            <w:r>
              <w:rPr>
                <w:rFonts w:hint="eastAsia"/>
                <w:vertAlign w:val="baseline"/>
                <w:lang w:val="en-US" w:eastAsia="zh-CN"/>
              </w:rPr>
              <w:t>3.33</w:t>
            </w:r>
          </w:p>
        </w:tc>
        <w:tc>
          <w:tcPr>
            <w:tcW w:w="834" w:type="pct"/>
            <w:vAlign w:val="top"/>
          </w:tcPr>
          <w:p w14:paraId="2CBD5211">
            <w:pPr>
              <w:numPr>
                <w:ilvl w:val="0"/>
                <w:numId w:val="0"/>
              </w:numPr>
              <w:jc w:val="center"/>
              <w:rPr>
                <w:rFonts w:hint="default"/>
                <w:vertAlign w:val="baseline"/>
                <w:lang w:val="en-US" w:eastAsia="zh-CN"/>
              </w:rPr>
            </w:pPr>
            <w:r>
              <w:rPr>
                <w:rFonts w:hint="eastAsia"/>
                <w:vertAlign w:val="baseline"/>
                <w:lang w:val="en-US" w:eastAsia="zh-CN"/>
              </w:rPr>
              <w:t>0.001</w:t>
            </w:r>
          </w:p>
        </w:tc>
      </w:tr>
      <w:tr w14:paraId="74B043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833" w:type="pct"/>
            <w:vAlign w:val="top"/>
          </w:tcPr>
          <w:p w14:paraId="03FC9844">
            <w:pPr>
              <w:numPr>
                <w:ilvl w:val="0"/>
                <w:numId w:val="0"/>
              </w:numPr>
              <w:jc w:val="center"/>
              <w:rPr>
                <w:rFonts w:hint="default"/>
                <w:vertAlign w:val="baseline"/>
                <w:lang w:val="en-US" w:eastAsia="zh-CN"/>
              </w:rPr>
            </w:pPr>
            <w:r>
              <w:rPr>
                <w:rFonts w:hint="eastAsia"/>
                <w:vertAlign w:val="baseline"/>
                <w:lang w:val="en-US" w:eastAsia="zh-CN"/>
              </w:rPr>
              <w:t>002184</w:t>
            </w:r>
          </w:p>
        </w:tc>
        <w:tc>
          <w:tcPr>
            <w:tcW w:w="833" w:type="pct"/>
            <w:vAlign w:val="top"/>
          </w:tcPr>
          <w:p w14:paraId="6D127C14">
            <w:pPr>
              <w:numPr>
                <w:ilvl w:val="0"/>
                <w:numId w:val="0"/>
              </w:numPr>
              <w:jc w:val="center"/>
              <w:rPr>
                <w:rFonts w:hint="default"/>
                <w:vertAlign w:val="baseline"/>
                <w:lang w:val="en-US" w:eastAsia="zh-CN"/>
              </w:rPr>
            </w:pPr>
            <w:r>
              <w:rPr>
                <w:rFonts w:hint="eastAsia"/>
                <w:vertAlign w:val="baseline"/>
                <w:lang w:val="en-US" w:eastAsia="zh-CN"/>
              </w:rPr>
              <w:t>1.031775</w:t>
            </w:r>
          </w:p>
        </w:tc>
        <w:tc>
          <w:tcPr>
            <w:tcW w:w="833" w:type="pct"/>
            <w:vAlign w:val="top"/>
          </w:tcPr>
          <w:p w14:paraId="44931A6C">
            <w:pPr>
              <w:numPr>
                <w:ilvl w:val="0"/>
                <w:numId w:val="0"/>
              </w:numPr>
              <w:jc w:val="center"/>
              <w:rPr>
                <w:rFonts w:hint="default"/>
                <w:vertAlign w:val="baseline"/>
                <w:lang w:val="en-US" w:eastAsia="zh-CN"/>
              </w:rPr>
            </w:pPr>
            <w:r>
              <w:rPr>
                <w:rFonts w:hint="eastAsia"/>
                <w:vertAlign w:val="baseline"/>
                <w:lang w:val="en-US" w:eastAsia="zh-CN"/>
              </w:rPr>
              <w:t>0.4890826</w:t>
            </w:r>
          </w:p>
        </w:tc>
        <w:tc>
          <w:tcPr>
            <w:tcW w:w="833" w:type="pct"/>
            <w:vAlign w:val="top"/>
          </w:tcPr>
          <w:p w14:paraId="48B14465">
            <w:pPr>
              <w:numPr>
                <w:ilvl w:val="0"/>
                <w:numId w:val="0"/>
              </w:numPr>
              <w:jc w:val="center"/>
              <w:rPr>
                <w:rFonts w:hint="default"/>
                <w:vertAlign w:val="baseline"/>
                <w:lang w:val="en-US" w:eastAsia="zh-CN"/>
              </w:rPr>
            </w:pPr>
            <w:r>
              <w:rPr>
                <w:rFonts w:hint="eastAsia"/>
                <w:vertAlign w:val="baseline"/>
                <w:lang w:val="en-US" w:eastAsia="zh-CN"/>
              </w:rPr>
              <w:t>0.0598</w:t>
            </w:r>
          </w:p>
        </w:tc>
        <w:tc>
          <w:tcPr>
            <w:tcW w:w="833" w:type="pct"/>
            <w:vAlign w:val="top"/>
          </w:tcPr>
          <w:p w14:paraId="3EA3EC76">
            <w:pPr>
              <w:numPr>
                <w:ilvl w:val="0"/>
                <w:numId w:val="0"/>
              </w:numPr>
              <w:jc w:val="center"/>
              <w:rPr>
                <w:rFonts w:hint="default"/>
                <w:vertAlign w:val="baseline"/>
                <w:lang w:val="en-US" w:eastAsia="zh-CN"/>
              </w:rPr>
            </w:pPr>
            <w:r>
              <w:rPr>
                <w:rFonts w:hint="eastAsia"/>
                <w:vertAlign w:val="baseline"/>
                <w:lang w:val="en-US" w:eastAsia="zh-CN"/>
              </w:rPr>
              <w:t>2.11</w:t>
            </w:r>
          </w:p>
        </w:tc>
        <w:tc>
          <w:tcPr>
            <w:tcW w:w="834" w:type="pct"/>
            <w:vAlign w:val="top"/>
          </w:tcPr>
          <w:p w14:paraId="7993FB68">
            <w:pPr>
              <w:numPr>
                <w:ilvl w:val="0"/>
                <w:numId w:val="0"/>
              </w:numPr>
              <w:tabs>
                <w:tab w:val="left" w:pos="300"/>
                <w:tab w:val="center" w:pos="662"/>
              </w:tabs>
              <w:jc w:val="center"/>
              <w:rPr>
                <w:rFonts w:hint="default"/>
                <w:vertAlign w:val="baseline"/>
                <w:lang w:val="en-US" w:eastAsia="zh-CN"/>
              </w:rPr>
            </w:pPr>
            <w:r>
              <w:rPr>
                <w:rFonts w:hint="eastAsia"/>
                <w:vertAlign w:val="baseline"/>
                <w:lang w:val="en-US" w:eastAsia="zh-CN"/>
              </w:rPr>
              <w:t>0.038</w:t>
            </w:r>
          </w:p>
        </w:tc>
      </w:tr>
      <w:tr w14:paraId="76FEAD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833" w:type="pct"/>
            <w:vAlign w:val="top"/>
          </w:tcPr>
          <w:p w14:paraId="0F32D7EA">
            <w:pPr>
              <w:numPr>
                <w:ilvl w:val="0"/>
                <w:numId w:val="0"/>
              </w:numPr>
              <w:jc w:val="center"/>
              <w:rPr>
                <w:rFonts w:hint="default"/>
                <w:vertAlign w:val="baseline"/>
                <w:lang w:val="en-US" w:eastAsia="zh-CN"/>
              </w:rPr>
            </w:pPr>
            <w:r>
              <w:rPr>
                <w:rFonts w:hint="eastAsia"/>
                <w:vertAlign w:val="baseline"/>
                <w:lang w:val="en-US" w:eastAsia="zh-CN"/>
              </w:rPr>
              <w:t>300476</w:t>
            </w:r>
          </w:p>
        </w:tc>
        <w:tc>
          <w:tcPr>
            <w:tcW w:w="833" w:type="pct"/>
            <w:vAlign w:val="top"/>
          </w:tcPr>
          <w:p w14:paraId="7D82FC9C">
            <w:pPr>
              <w:numPr>
                <w:ilvl w:val="0"/>
                <w:numId w:val="0"/>
              </w:numPr>
              <w:jc w:val="center"/>
              <w:rPr>
                <w:rFonts w:hint="default"/>
                <w:vertAlign w:val="baseline"/>
                <w:lang w:val="en-US" w:eastAsia="zh-CN"/>
              </w:rPr>
            </w:pPr>
            <w:r>
              <w:rPr>
                <w:rFonts w:hint="eastAsia"/>
                <w:vertAlign w:val="baseline"/>
                <w:lang w:val="en-US" w:eastAsia="zh-CN"/>
              </w:rPr>
              <w:t>0.744553</w:t>
            </w:r>
          </w:p>
        </w:tc>
        <w:tc>
          <w:tcPr>
            <w:tcW w:w="833" w:type="pct"/>
            <w:vAlign w:val="top"/>
          </w:tcPr>
          <w:p w14:paraId="3D3AE50F">
            <w:pPr>
              <w:numPr>
                <w:ilvl w:val="0"/>
                <w:numId w:val="0"/>
              </w:numPr>
              <w:jc w:val="center"/>
              <w:rPr>
                <w:rFonts w:hint="default"/>
                <w:vertAlign w:val="baseline"/>
                <w:lang w:val="en-US" w:eastAsia="zh-CN"/>
              </w:rPr>
            </w:pPr>
            <w:r>
              <w:rPr>
                <w:rFonts w:hint="eastAsia"/>
                <w:vertAlign w:val="baseline"/>
                <w:lang w:val="en-US" w:eastAsia="zh-CN"/>
              </w:rPr>
              <w:t>0.3087087</w:t>
            </w:r>
          </w:p>
        </w:tc>
        <w:tc>
          <w:tcPr>
            <w:tcW w:w="833" w:type="pct"/>
            <w:vAlign w:val="top"/>
          </w:tcPr>
          <w:p w14:paraId="0907C5AF">
            <w:pPr>
              <w:numPr>
                <w:ilvl w:val="0"/>
                <w:numId w:val="0"/>
              </w:numPr>
              <w:jc w:val="center"/>
              <w:rPr>
                <w:rFonts w:hint="default"/>
                <w:vertAlign w:val="baseline"/>
                <w:lang w:val="en-US" w:eastAsia="zh-CN"/>
              </w:rPr>
            </w:pPr>
            <w:r>
              <w:rPr>
                <w:rFonts w:hint="eastAsia"/>
                <w:vertAlign w:val="baseline"/>
                <w:lang w:val="en-US" w:eastAsia="zh-CN"/>
              </w:rPr>
              <w:t>0.0767</w:t>
            </w:r>
          </w:p>
        </w:tc>
        <w:tc>
          <w:tcPr>
            <w:tcW w:w="833" w:type="pct"/>
            <w:vAlign w:val="top"/>
          </w:tcPr>
          <w:p w14:paraId="0A451934">
            <w:pPr>
              <w:numPr>
                <w:ilvl w:val="0"/>
                <w:numId w:val="0"/>
              </w:numPr>
              <w:jc w:val="center"/>
              <w:rPr>
                <w:rFonts w:hint="default"/>
                <w:vertAlign w:val="baseline"/>
                <w:lang w:val="en-US" w:eastAsia="zh-CN"/>
              </w:rPr>
            </w:pPr>
            <w:r>
              <w:rPr>
                <w:rFonts w:hint="eastAsia"/>
                <w:vertAlign w:val="baseline"/>
                <w:lang w:val="en-US" w:eastAsia="zh-CN"/>
              </w:rPr>
              <w:t>2.41</w:t>
            </w:r>
          </w:p>
        </w:tc>
        <w:tc>
          <w:tcPr>
            <w:tcW w:w="834" w:type="pct"/>
            <w:vAlign w:val="top"/>
          </w:tcPr>
          <w:p w14:paraId="785EE4A7">
            <w:pPr>
              <w:numPr>
                <w:ilvl w:val="0"/>
                <w:numId w:val="0"/>
              </w:numPr>
              <w:jc w:val="center"/>
              <w:rPr>
                <w:rFonts w:hint="default"/>
                <w:vertAlign w:val="baseline"/>
                <w:lang w:val="en-US" w:eastAsia="zh-CN"/>
              </w:rPr>
            </w:pPr>
            <w:r>
              <w:rPr>
                <w:rFonts w:hint="eastAsia"/>
                <w:vertAlign w:val="baseline"/>
                <w:lang w:val="en-US" w:eastAsia="zh-CN"/>
              </w:rPr>
              <w:t>0.018</w:t>
            </w:r>
          </w:p>
        </w:tc>
      </w:tr>
      <w:tr w14:paraId="21A6DB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833" w:type="pct"/>
            <w:vAlign w:val="top"/>
          </w:tcPr>
          <w:p w14:paraId="4AEA842A">
            <w:pPr>
              <w:numPr>
                <w:ilvl w:val="0"/>
                <w:numId w:val="0"/>
              </w:numPr>
              <w:jc w:val="center"/>
              <w:rPr>
                <w:rFonts w:hint="default"/>
                <w:vertAlign w:val="baseline"/>
                <w:lang w:val="en-US" w:eastAsia="zh-CN"/>
              </w:rPr>
            </w:pPr>
            <w:r>
              <w:rPr>
                <w:rFonts w:hint="eastAsia"/>
                <w:vertAlign w:val="baseline"/>
                <w:lang w:val="en-US" w:eastAsia="zh-CN"/>
              </w:rPr>
              <w:t>688001</w:t>
            </w:r>
          </w:p>
        </w:tc>
        <w:tc>
          <w:tcPr>
            <w:tcW w:w="833" w:type="pct"/>
            <w:vAlign w:val="top"/>
          </w:tcPr>
          <w:p w14:paraId="0D614105">
            <w:pPr>
              <w:numPr>
                <w:ilvl w:val="0"/>
                <w:numId w:val="0"/>
              </w:numPr>
              <w:jc w:val="center"/>
              <w:rPr>
                <w:rFonts w:hint="default"/>
                <w:vertAlign w:val="baseline"/>
                <w:lang w:val="en-US" w:eastAsia="zh-CN"/>
              </w:rPr>
            </w:pPr>
            <w:r>
              <w:rPr>
                <w:rFonts w:hint="eastAsia"/>
                <w:vertAlign w:val="baseline"/>
                <w:lang w:val="en-US" w:eastAsia="zh-CN"/>
              </w:rPr>
              <w:t>0.6405207</w:t>
            </w:r>
          </w:p>
        </w:tc>
        <w:tc>
          <w:tcPr>
            <w:tcW w:w="833" w:type="pct"/>
            <w:vAlign w:val="top"/>
          </w:tcPr>
          <w:p w14:paraId="041CAB45">
            <w:pPr>
              <w:numPr>
                <w:ilvl w:val="0"/>
                <w:numId w:val="0"/>
              </w:numPr>
              <w:jc w:val="center"/>
              <w:rPr>
                <w:rFonts w:hint="default"/>
                <w:vertAlign w:val="baseline"/>
                <w:lang w:val="en-US" w:eastAsia="zh-CN"/>
              </w:rPr>
            </w:pPr>
            <w:r>
              <w:rPr>
                <w:rFonts w:hint="eastAsia"/>
                <w:vertAlign w:val="baseline"/>
                <w:lang w:val="en-US" w:eastAsia="zh-CN"/>
              </w:rPr>
              <w:t>0.4191804</w:t>
            </w:r>
          </w:p>
        </w:tc>
        <w:tc>
          <w:tcPr>
            <w:tcW w:w="833" w:type="pct"/>
            <w:vAlign w:val="top"/>
          </w:tcPr>
          <w:p w14:paraId="48B60AE1">
            <w:pPr>
              <w:numPr>
                <w:ilvl w:val="0"/>
                <w:numId w:val="0"/>
              </w:numPr>
              <w:jc w:val="center"/>
              <w:rPr>
                <w:rFonts w:hint="default"/>
                <w:vertAlign w:val="baseline"/>
                <w:lang w:val="en-US" w:eastAsia="zh-CN"/>
              </w:rPr>
            </w:pPr>
            <w:r>
              <w:rPr>
                <w:rFonts w:hint="eastAsia"/>
                <w:vertAlign w:val="baseline"/>
                <w:lang w:val="en-US" w:eastAsia="zh-CN"/>
              </w:rPr>
              <w:t>0.0430</w:t>
            </w:r>
          </w:p>
        </w:tc>
        <w:tc>
          <w:tcPr>
            <w:tcW w:w="833" w:type="pct"/>
            <w:vAlign w:val="top"/>
          </w:tcPr>
          <w:p w14:paraId="4D2521ED">
            <w:pPr>
              <w:numPr>
                <w:ilvl w:val="0"/>
                <w:numId w:val="0"/>
              </w:numPr>
              <w:jc w:val="center"/>
              <w:rPr>
                <w:rFonts w:hint="default"/>
                <w:vertAlign w:val="baseline"/>
                <w:lang w:val="en-US" w:eastAsia="zh-CN"/>
              </w:rPr>
            </w:pPr>
            <w:r>
              <w:rPr>
                <w:rFonts w:hint="eastAsia"/>
                <w:vertAlign w:val="baseline"/>
                <w:lang w:val="en-US" w:eastAsia="zh-CN"/>
              </w:rPr>
              <w:t>1.53</w:t>
            </w:r>
          </w:p>
        </w:tc>
        <w:tc>
          <w:tcPr>
            <w:tcW w:w="834" w:type="pct"/>
            <w:vAlign w:val="top"/>
          </w:tcPr>
          <w:p w14:paraId="2DB67C1E">
            <w:pPr>
              <w:numPr>
                <w:ilvl w:val="0"/>
                <w:numId w:val="0"/>
              </w:numPr>
              <w:jc w:val="center"/>
              <w:rPr>
                <w:rFonts w:hint="default"/>
                <w:vertAlign w:val="baseline"/>
                <w:lang w:val="en-US" w:eastAsia="zh-CN"/>
              </w:rPr>
            </w:pPr>
            <w:r>
              <w:rPr>
                <w:rFonts w:hint="eastAsia"/>
                <w:vertAlign w:val="baseline"/>
                <w:lang w:val="en-US" w:eastAsia="zh-CN"/>
              </w:rPr>
              <w:t>0.133</w:t>
            </w:r>
          </w:p>
        </w:tc>
      </w:tr>
      <w:tr w14:paraId="6FF8A5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833" w:type="pct"/>
            <w:vAlign w:val="top"/>
          </w:tcPr>
          <w:p w14:paraId="58836D92">
            <w:pPr>
              <w:numPr>
                <w:ilvl w:val="0"/>
                <w:numId w:val="0"/>
              </w:numPr>
              <w:jc w:val="center"/>
              <w:rPr>
                <w:rFonts w:hint="default"/>
                <w:vertAlign w:val="baseline"/>
                <w:lang w:val="en-US" w:eastAsia="zh-CN"/>
              </w:rPr>
            </w:pPr>
            <w:r>
              <w:rPr>
                <w:rFonts w:hint="eastAsia"/>
                <w:vertAlign w:val="baseline"/>
                <w:lang w:val="en-US" w:eastAsia="zh-CN"/>
              </w:rPr>
              <w:t>000795</w:t>
            </w:r>
          </w:p>
        </w:tc>
        <w:tc>
          <w:tcPr>
            <w:tcW w:w="833" w:type="pct"/>
            <w:vAlign w:val="top"/>
          </w:tcPr>
          <w:p w14:paraId="7F3CF655">
            <w:pPr>
              <w:numPr>
                <w:ilvl w:val="0"/>
                <w:numId w:val="0"/>
              </w:numPr>
              <w:jc w:val="center"/>
              <w:rPr>
                <w:rFonts w:hint="default"/>
                <w:vertAlign w:val="baseline"/>
                <w:lang w:val="en-US" w:eastAsia="zh-CN"/>
              </w:rPr>
            </w:pPr>
            <w:r>
              <w:rPr>
                <w:rFonts w:hint="eastAsia"/>
                <w:vertAlign w:val="baseline"/>
                <w:lang w:val="en-US" w:eastAsia="zh-CN"/>
              </w:rPr>
              <w:t>0.8751477</w:t>
            </w:r>
          </w:p>
        </w:tc>
        <w:tc>
          <w:tcPr>
            <w:tcW w:w="833" w:type="pct"/>
            <w:vAlign w:val="top"/>
          </w:tcPr>
          <w:p w14:paraId="054570C9">
            <w:pPr>
              <w:numPr>
                <w:ilvl w:val="0"/>
                <w:numId w:val="0"/>
              </w:numPr>
              <w:tabs>
                <w:tab w:val="left" w:pos="590"/>
              </w:tabs>
              <w:jc w:val="center"/>
              <w:rPr>
                <w:rFonts w:hint="default"/>
                <w:vertAlign w:val="baseline"/>
                <w:lang w:val="en-US" w:eastAsia="zh-CN"/>
              </w:rPr>
            </w:pPr>
            <w:r>
              <w:rPr>
                <w:rFonts w:hint="eastAsia"/>
                <w:vertAlign w:val="baseline"/>
                <w:lang w:val="en-US" w:eastAsia="zh-CN"/>
              </w:rPr>
              <w:t>0.3771313</w:t>
            </w:r>
          </w:p>
        </w:tc>
        <w:tc>
          <w:tcPr>
            <w:tcW w:w="833" w:type="pct"/>
            <w:vAlign w:val="top"/>
          </w:tcPr>
          <w:p w14:paraId="3C51AB4D">
            <w:pPr>
              <w:numPr>
                <w:ilvl w:val="0"/>
                <w:numId w:val="0"/>
              </w:numPr>
              <w:jc w:val="center"/>
              <w:rPr>
                <w:rFonts w:hint="default"/>
                <w:vertAlign w:val="baseline"/>
                <w:lang w:val="en-US" w:eastAsia="zh-CN"/>
              </w:rPr>
            </w:pPr>
            <w:r>
              <w:rPr>
                <w:rFonts w:hint="eastAsia"/>
                <w:vertAlign w:val="baseline"/>
                <w:lang w:val="en-US" w:eastAsia="zh-CN"/>
              </w:rPr>
              <w:t>0.0714</w:t>
            </w:r>
          </w:p>
        </w:tc>
        <w:tc>
          <w:tcPr>
            <w:tcW w:w="833" w:type="pct"/>
            <w:vAlign w:val="top"/>
          </w:tcPr>
          <w:p w14:paraId="37891817">
            <w:pPr>
              <w:numPr>
                <w:ilvl w:val="0"/>
                <w:numId w:val="0"/>
              </w:numPr>
              <w:jc w:val="center"/>
              <w:rPr>
                <w:rFonts w:hint="default"/>
                <w:vertAlign w:val="baseline"/>
                <w:lang w:val="en-US" w:eastAsia="zh-CN"/>
              </w:rPr>
            </w:pPr>
            <w:r>
              <w:rPr>
                <w:rFonts w:hint="eastAsia"/>
                <w:vertAlign w:val="baseline"/>
                <w:lang w:val="en-US" w:eastAsia="zh-CN"/>
              </w:rPr>
              <w:t>2.32</w:t>
            </w:r>
          </w:p>
        </w:tc>
        <w:tc>
          <w:tcPr>
            <w:tcW w:w="834" w:type="pct"/>
            <w:vAlign w:val="top"/>
          </w:tcPr>
          <w:p w14:paraId="3B89B75D">
            <w:pPr>
              <w:numPr>
                <w:ilvl w:val="0"/>
                <w:numId w:val="0"/>
              </w:numPr>
              <w:jc w:val="center"/>
              <w:rPr>
                <w:rFonts w:hint="default"/>
                <w:vertAlign w:val="baseline"/>
                <w:lang w:val="en-US" w:eastAsia="zh-CN"/>
              </w:rPr>
            </w:pPr>
            <w:r>
              <w:rPr>
                <w:rFonts w:hint="eastAsia"/>
                <w:vertAlign w:val="baseline"/>
                <w:lang w:val="en-US" w:eastAsia="zh-CN"/>
              </w:rPr>
              <w:t>0.023</w:t>
            </w:r>
          </w:p>
        </w:tc>
      </w:tr>
      <w:tr w14:paraId="4FE288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833" w:type="pct"/>
            <w:vAlign w:val="top"/>
          </w:tcPr>
          <w:p w14:paraId="7C77B3F7">
            <w:pPr>
              <w:numPr>
                <w:ilvl w:val="0"/>
                <w:numId w:val="0"/>
              </w:numPr>
              <w:jc w:val="center"/>
              <w:rPr>
                <w:rFonts w:hint="default"/>
                <w:vertAlign w:val="baseline"/>
                <w:lang w:val="en-US" w:eastAsia="zh-CN"/>
              </w:rPr>
            </w:pPr>
            <w:r>
              <w:rPr>
                <w:rFonts w:hint="eastAsia"/>
                <w:vertAlign w:val="baseline"/>
                <w:lang w:val="en-US" w:eastAsia="zh-CN"/>
              </w:rPr>
              <w:t>601398</w:t>
            </w:r>
          </w:p>
        </w:tc>
        <w:tc>
          <w:tcPr>
            <w:tcW w:w="833" w:type="pct"/>
            <w:vAlign w:val="top"/>
          </w:tcPr>
          <w:p w14:paraId="5B0817FC">
            <w:pPr>
              <w:numPr>
                <w:ilvl w:val="0"/>
                <w:numId w:val="0"/>
              </w:numPr>
              <w:jc w:val="center"/>
              <w:rPr>
                <w:rFonts w:hint="default"/>
                <w:vertAlign w:val="baseline"/>
                <w:lang w:val="en-US" w:eastAsia="zh-CN"/>
              </w:rPr>
            </w:pPr>
            <w:r>
              <w:rPr>
                <w:rFonts w:hint="eastAsia"/>
                <w:vertAlign w:val="baseline"/>
                <w:lang w:val="en-US" w:eastAsia="zh-CN"/>
              </w:rPr>
              <w:t>0.3635287</w:t>
            </w:r>
          </w:p>
        </w:tc>
        <w:tc>
          <w:tcPr>
            <w:tcW w:w="833" w:type="pct"/>
            <w:vAlign w:val="top"/>
          </w:tcPr>
          <w:p w14:paraId="192DE750">
            <w:pPr>
              <w:numPr>
                <w:ilvl w:val="0"/>
                <w:numId w:val="0"/>
              </w:numPr>
              <w:jc w:val="center"/>
              <w:rPr>
                <w:rFonts w:hint="default"/>
                <w:vertAlign w:val="baseline"/>
                <w:lang w:val="en-US" w:eastAsia="zh-CN"/>
              </w:rPr>
            </w:pPr>
            <w:r>
              <w:rPr>
                <w:rFonts w:hint="eastAsia"/>
                <w:vertAlign w:val="baseline"/>
                <w:lang w:val="en-US" w:eastAsia="zh-CN"/>
              </w:rPr>
              <w:t>0.1076707</w:t>
            </w:r>
          </w:p>
        </w:tc>
        <w:tc>
          <w:tcPr>
            <w:tcW w:w="833" w:type="pct"/>
            <w:vAlign w:val="top"/>
          </w:tcPr>
          <w:p w14:paraId="6355A2BD">
            <w:pPr>
              <w:numPr>
                <w:ilvl w:val="0"/>
                <w:numId w:val="0"/>
              </w:numPr>
              <w:jc w:val="center"/>
              <w:rPr>
                <w:rFonts w:hint="default"/>
                <w:vertAlign w:val="baseline"/>
                <w:lang w:val="en-US" w:eastAsia="zh-CN"/>
              </w:rPr>
            </w:pPr>
            <w:r>
              <w:rPr>
                <w:rFonts w:hint="eastAsia"/>
                <w:vertAlign w:val="baseline"/>
                <w:lang w:val="en-US" w:eastAsia="zh-CN"/>
              </w:rPr>
              <w:t>0.1367</w:t>
            </w:r>
          </w:p>
        </w:tc>
        <w:tc>
          <w:tcPr>
            <w:tcW w:w="833" w:type="pct"/>
            <w:vAlign w:val="top"/>
          </w:tcPr>
          <w:p w14:paraId="43340088">
            <w:pPr>
              <w:numPr>
                <w:ilvl w:val="0"/>
                <w:numId w:val="0"/>
              </w:numPr>
              <w:tabs>
                <w:tab w:val="center" w:pos="602"/>
              </w:tabs>
              <w:jc w:val="center"/>
              <w:rPr>
                <w:rFonts w:hint="default"/>
                <w:vertAlign w:val="baseline"/>
                <w:lang w:val="en-US" w:eastAsia="zh-CN"/>
              </w:rPr>
            </w:pPr>
            <w:r>
              <w:rPr>
                <w:rFonts w:hint="eastAsia"/>
                <w:vertAlign w:val="baseline"/>
                <w:lang w:val="en-US" w:eastAsia="zh-CN"/>
              </w:rPr>
              <w:t>3.33</w:t>
            </w:r>
          </w:p>
        </w:tc>
        <w:tc>
          <w:tcPr>
            <w:tcW w:w="834" w:type="pct"/>
            <w:vAlign w:val="top"/>
          </w:tcPr>
          <w:p w14:paraId="764A186E">
            <w:pPr>
              <w:numPr>
                <w:ilvl w:val="0"/>
                <w:numId w:val="0"/>
              </w:numPr>
              <w:jc w:val="center"/>
              <w:rPr>
                <w:rFonts w:hint="default"/>
                <w:vertAlign w:val="baseline"/>
                <w:lang w:val="en-US" w:eastAsia="zh-CN"/>
              </w:rPr>
            </w:pPr>
            <w:r>
              <w:rPr>
                <w:rFonts w:hint="eastAsia"/>
                <w:vertAlign w:val="baseline"/>
                <w:lang w:val="en-US" w:eastAsia="zh-CN"/>
              </w:rPr>
              <w:t>0.001</w:t>
            </w:r>
          </w:p>
        </w:tc>
      </w:tr>
      <w:tr w14:paraId="4C09C7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833" w:type="pct"/>
            <w:vAlign w:val="top"/>
          </w:tcPr>
          <w:p w14:paraId="5FC81B60">
            <w:pPr>
              <w:numPr>
                <w:ilvl w:val="0"/>
                <w:numId w:val="0"/>
              </w:numPr>
              <w:jc w:val="center"/>
              <w:rPr>
                <w:rFonts w:hint="default"/>
                <w:vertAlign w:val="baseline"/>
                <w:lang w:val="en-US" w:eastAsia="zh-CN"/>
              </w:rPr>
            </w:pPr>
            <w:r>
              <w:rPr>
                <w:rFonts w:hint="eastAsia"/>
                <w:vertAlign w:val="baseline"/>
                <w:lang w:val="en-US" w:eastAsia="zh-CN"/>
              </w:rPr>
              <w:t>000651</w:t>
            </w:r>
          </w:p>
        </w:tc>
        <w:tc>
          <w:tcPr>
            <w:tcW w:w="833" w:type="pct"/>
            <w:vAlign w:val="top"/>
          </w:tcPr>
          <w:p w14:paraId="6B94AB06">
            <w:pPr>
              <w:numPr>
                <w:ilvl w:val="0"/>
                <w:numId w:val="0"/>
              </w:numPr>
              <w:jc w:val="center"/>
              <w:rPr>
                <w:rFonts w:hint="default"/>
                <w:vertAlign w:val="baseline"/>
                <w:lang w:val="en-US" w:eastAsia="zh-CN"/>
              </w:rPr>
            </w:pPr>
            <w:r>
              <w:rPr>
                <w:rFonts w:hint="eastAsia"/>
                <w:vertAlign w:val="baseline"/>
                <w:lang w:val="en-US" w:eastAsia="zh-CN"/>
              </w:rPr>
              <w:t>0.8357602</w:t>
            </w:r>
          </w:p>
        </w:tc>
        <w:tc>
          <w:tcPr>
            <w:tcW w:w="833" w:type="pct"/>
            <w:vAlign w:val="top"/>
          </w:tcPr>
          <w:p w14:paraId="3A5EB312">
            <w:pPr>
              <w:numPr>
                <w:ilvl w:val="0"/>
                <w:numId w:val="0"/>
              </w:numPr>
              <w:jc w:val="center"/>
              <w:rPr>
                <w:rFonts w:hint="default"/>
                <w:vertAlign w:val="baseline"/>
                <w:lang w:val="en-US" w:eastAsia="zh-CN"/>
              </w:rPr>
            </w:pPr>
            <w:r>
              <w:rPr>
                <w:rFonts w:hint="eastAsia"/>
                <w:vertAlign w:val="baseline"/>
                <w:lang w:val="en-US" w:eastAsia="zh-CN"/>
              </w:rPr>
              <w:t>0.1711257</w:t>
            </w:r>
          </w:p>
        </w:tc>
        <w:tc>
          <w:tcPr>
            <w:tcW w:w="833" w:type="pct"/>
            <w:vAlign w:val="top"/>
          </w:tcPr>
          <w:p w14:paraId="454FD129">
            <w:pPr>
              <w:numPr>
                <w:ilvl w:val="0"/>
                <w:numId w:val="0"/>
              </w:numPr>
              <w:jc w:val="center"/>
              <w:rPr>
                <w:rFonts w:hint="default"/>
                <w:vertAlign w:val="baseline"/>
                <w:lang w:val="en-US" w:eastAsia="zh-CN"/>
              </w:rPr>
            </w:pPr>
            <w:r>
              <w:rPr>
                <w:rFonts w:hint="eastAsia"/>
                <w:vertAlign w:val="baseline"/>
                <w:lang w:val="en-US" w:eastAsia="zh-CN"/>
              </w:rPr>
              <w:t>0.2488</w:t>
            </w:r>
          </w:p>
        </w:tc>
        <w:tc>
          <w:tcPr>
            <w:tcW w:w="833" w:type="pct"/>
            <w:vAlign w:val="top"/>
          </w:tcPr>
          <w:p w14:paraId="5131361C">
            <w:pPr>
              <w:numPr>
                <w:ilvl w:val="0"/>
                <w:numId w:val="0"/>
              </w:numPr>
              <w:jc w:val="center"/>
              <w:rPr>
                <w:rFonts w:hint="default"/>
                <w:vertAlign w:val="baseline"/>
                <w:lang w:val="en-US" w:eastAsia="zh-CN"/>
              </w:rPr>
            </w:pPr>
            <w:r>
              <w:rPr>
                <w:rFonts w:hint="eastAsia"/>
                <w:vertAlign w:val="baseline"/>
                <w:lang w:val="en-US" w:eastAsia="zh-CN"/>
              </w:rPr>
              <w:t>4.82</w:t>
            </w:r>
          </w:p>
        </w:tc>
        <w:tc>
          <w:tcPr>
            <w:tcW w:w="834" w:type="pct"/>
            <w:vAlign w:val="top"/>
          </w:tcPr>
          <w:p w14:paraId="2494DDB8">
            <w:pPr>
              <w:numPr>
                <w:ilvl w:val="0"/>
                <w:numId w:val="0"/>
              </w:numPr>
              <w:jc w:val="center"/>
              <w:rPr>
                <w:rFonts w:hint="default"/>
                <w:vertAlign w:val="baseline"/>
                <w:lang w:val="en-US" w:eastAsia="zh-CN"/>
              </w:rPr>
            </w:pPr>
            <w:r>
              <w:rPr>
                <w:rFonts w:hint="eastAsia"/>
                <w:vertAlign w:val="baseline"/>
                <w:lang w:val="en-US" w:eastAsia="zh-CN"/>
              </w:rPr>
              <w:t>0.000</w:t>
            </w:r>
          </w:p>
        </w:tc>
      </w:tr>
      <w:tr w14:paraId="49C3B7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833" w:type="pct"/>
            <w:vAlign w:val="top"/>
          </w:tcPr>
          <w:p w14:paraId="0B97A8CA">
            <w:pPr>
              <w:numPr>
                <w:ilvl w:val="0"/>
                <w:numId w:val="0"/>
              </w:numPr>
              <w:jc w:val="center"/>
              <w:rPr>
                <w:rFonts w:hint="default"/>
                <w:vertAlign w:val="baseline"/>
                <w:lang w:val="en-US" w:eastAsia="zh-CN"/>
              </w:rPr>
            </w:pPr>
            <w:r>
              <w:rPr>
                <w:rFonts w:hint="eastAsia"/>
                <w:vertAlign w:val="baseline"/>
                <w:lang w:val="en-US" w:eastAsia="zh-CN"/>
              </w:rPr>
              <w:t>603326</w:t>
            </w:r>
          </w:p>
        </w:tc>
        <w:tc>
          <w:tcPr>
            <w:tcW w:w="833" w:type="pct"/>
            <w:vAlign w:val="top"/>
          </w:tcPr>
          <w:p w14:paraId="15ED8BBE">
            <w:pPr>
              <w:numPr>
                <w:ilvl w:val="0"/>
                <w:numId w:val="0"/>
              </w:numPr>
              <w:jc w:val="center"/>
              <w:rPr>
                <w:rFonts w:hint="default"/>
                <w:vertAlign w:val="baseline"/>
                <w:lang w:val="en-US" w:eastAsia="zh-CN"/>
              </w:rPr>
            </w:pPr>
            <w:r>
              <w:rPr>
                <w:rFonts w:hint="eastAsia"/>
                <w:vertAlign w:val="baseline"/>
                <w:lang w:val="en-US" w:eastAsia="zh-CN"/>
              </w:rPr>
              <w:t>0.8333946</w:t>
            </w:r>
          </w:p>
        </w:tc>
        <w:tc>
          <w:tcPr>
            <w:tcW w:w="833" w:type="pct"/>
            <w:vAlign w:val="top"/>
          </w:tcPr>
          <w:p w14:paraId="23DDF063">
            <w:pPr>
              <w:numPr>
                <w:ilvl w:val="0"/>
                <w:numId w:val="0"/>
              </w:numPr>
              <w:jc w:val="center"/>
              <w:rPr>
                <w:rFonts w:hint="default"/>
                <w:vertAlign w:val="baseline"/>
                <w:lang w:val="en-US" w:eastAsia="zh-CN"/>
              </w:rPr>
            </w:pPr>
            <w:r>
              <w:rPr>
                <w:rFonts w:hint="eastAsia"/>
                <w:vertAlign w:val="baseline"/>
                <w:lang w:val="en-US" w:eastAsia="zh-CN"/>
              </w:rPr>
              <w:t>0.2486566</w:t>
            </w:r>
          </w:p>
        </w:tc>
        <w:tc>
          <w:tcPr>
            <w:tcW w:w="833" w:type="pct"/>
            <w:vAlign w:val="top"/>
          </w:tcPr>
          <w:p w14:paraId="643047C9">
            <w:pPr>
              <w:numPr>
                <w:ilvl w:val="0"/>
                <w:numId w:val="0"/>
              </w:numPr>
              <w:jc w:val="center"/>
              <w:rPr>
                <w:rFonts w:hint="default"/>
                <w:vertAlign w:val="baseline"/>
                <w:lang w:val="en-US" w:eastAsia="zh-CN"/>
              </w:rPr>
            </w:pPr>
            <w:r>
              <w:rPr>
                <w:rFonts w:hint="eastAsia"/>
                <w:vertAlign w:val="baseline"/>
                <w:lang w:val="en-US" w:eastAsia="zh-CN"/>
              </w:rPr>
              <w:t>0.1347</w:t>
            </w:r>
          </w:p>
        </w:tc>
        <w:tc>
          <w:tcPr>
            <w:tcW w:w="833" w:type="pct"/>
            <w:vAlign w:val="top"/>
          </w:tcPr>
          <w:p w14:paraId="0CA81A44">
            <w:pPr>
              <w:numPr>
                <w:ilvl w:val="0"/>
                <w:numId w:val="0"/>
              </w:numPr>
              <w:jc w:val="center"/>
              <w:rPr>
                <w:rFonts w:hint="default"/>
                <w:vertAlign w:val="baseline"/>
                <w:lang w:val="en-US" w:eastAsia="zh-CN"/>
              </w:rPr>
            </w:pPr>
            <w:r>
              <w:rPr>
                <w:rFonts w:hint="eastAsia"/>
                <w:vertAlign w:val="baseline"/>
                <w:lang w:val="en-US" w:eastAsia="zh-CN"/>
              </w:rPr>
              <w:t>3.30</w:t>
            </w:r>
          </w:p>
        </w:tc>
        <w:tc>
          <w:tcPr>
            <w:tcW w:w="834" w:type="pct"/>
            <w:vAlign w:val="top"/>
          </w:tcPr>
          <w:p w14:paraId="5B8D77B2">
            <w:pPr>
              <w:numPr>
                <w:ilvl w:val="0"/>
                <w:numId w:val="0"/>
              </w:numPr>
              <w:jc w:val="center"/>
              <w:rPr>
                <w:rFonts w:hint="default"/>
                <w:vertAlign w:val="baseline"/>
                <w:lang w:val="en-US" w:eastAsia="zh-CN"/>
              </w:rPr>
            </w:pPr>
            <w:r>
              <w:rPr>
                <w:rFonts w:hint="eastAsia"/>
                <w:vertAlign w:val="baseline"/>
                <w:lang w:val="en-US" w:eastAsia="zh-CN"/>
              </w:rPr>
              <w:t>0.002</w:t>
            </w:r>
          </w:p>
        </w:tc>
      </w:tr>
    </w:tbl>
    <w:p w14:paraId="2F4B2BD8">
      <w:pPr>
        <w:numPr>
          <w:ilvl w:val="0"/>
          <w:numId w:val="2"/>
        </w:numPr>
        <w:ind w:left="0" w:leftChars="0" w:firstLine="0" w:firstLineChars="0"/>
        <w:rPr>
          <w:rFonts w:hint="eastAsia"/>
          <w:lang w:val="en-US" w:eastAsia="zh-CN"/>
        </w:rPr>
      </w:pPr>
      <w:r>
        <w:rPr>
          <w:rFonts w:hint="eastAsia"/>
          <w:lang w:val="en-US" w:eastAsia="zh-CN"/>
        </w:rPr>
        <w:t>结果分析</w:t>
      </w:r>
    </w:p>
    <w:p w14:paraId="537096A3">
      <w:pPr>
        <w:numPr>
          <w:numId w:val="0"/>
        </w:numPr>
        <w:ind w:leftChars="0"/>
        <w:rPr>
          <w:rFonts w:hint="default"/>
          <w:lang w:val="en-US" w:eastAsia="zh-CN"/>
        </w:rPr>
      </w:pPr>
      <w:r>
        <w:rPr>
          <w:rFonts w:hint="eastAsia"/>
          <w:lang w:val="en-US" w:eastAsia="zh-CN"/>
        </w:rPr>
        <w:t>（1）FF三因子检验结果分析——基于A股市场</w:t>
      </w:r>
    </w:p>
    <w:p w14:paraId="2946BABA">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从A股中随机选取200只股票做三因子检验，把ri_rf（股票收益率减去无风险利率）作为被解释变量，剩下的mkt，smb和hml作为解释变量，做回归得出实证结果，同时观察截距项是否为0。</w:t>
      </w:r>
    </w:p>
    <w:p w14:paraId="325F7579">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hAnsi="Cambria Math"/>
          <w:i w:val="0"/>
          <w:lang w:val="en-US" w:eastAsia="zh-CN"/>
        </w:rPr>
      </w:pPr>
      <w:bookmarkStart w:id="0" w:name="_GoBack"/>
      <w:bookmarkEnd w:id="0"/>
      <w:r>
        <w:rPr>
          <w:rFonts w:hint="eastAsia"/>
          <w:lang w:val="en-US" w:eastAsia="zh-CN"/>
        </w:rPr>
        <w:t>从表3可以看出</w:t>
      </w:r>
      <w:r>
        <w:rPr>
          <w:rFonts w:hint="eastAsia" w:hAnsi="Cambria Math"/>
          <w:i w:val="0"/>
          <w:lang w:val="en-US" w:eastAsia="zh-CN"/>
        </w:rPr>
        <w:t>，三个因子都很显著，说明中国股票市场比较符合FF三因子模型，中国股票市场上股票的收益率高低跟市场溢价因子mkt，市值因子smb和账面市值比因子hml都有很大的关系。</w:t>
      </w:r>
    </w:p>
    <w:p w14:paraId="2737FDC8">
      <w:pPr>
        <w:numPr>
          <w:ilvl w:val="0"/>
          <w:numId w:val="0"/>
        </w:numPr>
        <w:ind w:leftChars="0"/>
        <w:rPr>
          <w:rFonts w:hint="default" w:hAnsi="Cambria Math"/>
          <w:i w:val="0"/>
          <w:lang w:val="en-US" w:eastAsia="zh-CN"/>
        </w:rPr>
      </w:pPr>
      <w:r>
        <w:rPr>
          <w:rFonts w:hint="eastAsia"/>
          <w:lang w:val="en-US" w:eastAsia="zh-CN"/>
        </w:rPr>
        <w:t>（2）CAPM模型检验结果分析</w:t>
      </w:r>
    </w:p>
    <w:p w14:paraId="0B03F1C2">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随机从各个市场不同行业中选取10只股票代表各个市场，用这10只股票各自的月度收益率减去所在市场的无风险利率(ri_rf)作为股票的超额收益率，用这10只股票各自所在的市场收益率减去无风险利率(rm_rf)作为风险溢价，用ri_rf对rm_rf做似不相关回归，得出每只股票的β值，同时看截距项是否为0。</w:t>
      </w:r>
    </w:p>
    <w:p w14:paraId="224F7DD8">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eastAsia"/>
          <w:lang w:val="en-US" w:eastAsia="zh-CN"/>
        </w:rPr>
        <w:t>从表4可以看出，β系数不是都很显著，说明CAPM模型中只是衡量了系统性风险还不能完全影响股票的收益率。P值为0的股票占比不大，</w:t>
      </w:r>
      <m:oMath>
        <m:sSup>
          <m:sSupPr>
            <m:ctrlPr>
              <w:rPr>
                <w:rFonts w:ascii="Cambria Math" w:hAnsi="Cambria Math"/>
                <w:i/>
                <w:lang w:val="en-US"/>
              </w:rPr>
            </m:ctrlPr>
          </m:sSupPr>
          <m:e>
            <m:r>
              <m:rPr/>
              <w:rPr>
                <w:rFonts w:hint="default" w:ascii="Cambria Math" w:hAnsi="Cambria Math"/>
                <w:lang w:val="en-US" w:eastAsia="zh-CN"/>
              </w:rPr>
              <m:t>R</m:t>
            </m:r>
            <m:ctrlPr>
              <w:rPr>
                <w:rFonts w:ascii="Cambria Math" w:hAnsi="Cambria Math"/>
                <w:i/>
                <w:lang w:val="en-US"/>
              </w:rPr>
            </m:ctrlPr>
          </m:e>
          <m:sup>
            <m:r>
              <m:rPr/>
              <w:rPr>
                <w:rFonts w:hint="default" w:ascii="Cambria Math" w:hAnsi="Cambria Math"/>
                <w:lang w:val="en-US" w:eastAsia="zh-CN"/>
              </w:rPr>
              <m:t>2</m:t>
            </m:r>
            <m:ctrlPr>
              <w:rPr>
                <w:rFonts w:ascii="Cambria Math" w:hAnsi="Cambria Math"/>
                <w:i/>
                <w:lang w:val="en-US"/>
              </w:rPr>
            </m:ctrlPr>
          </m:sup>
        </m:sSup>
      </m:oMath>
      <w:r>
        <w:rPr>
          <w:rFonts w:hint="eastAsia" w:hAnsi="Cambria Math"/>
          <w:i w:val="0"/>
          <w:lang w:val="en-US" w:eastAsia="zh-CN"/>
        </w:rPr>
        <w:t>数值都较</w:t>
      </w:r>
      <w:r>
        <w:rPr>
          <w:rFonts w:hint="eastAsia"/>
          <w:lang w:val="en-US" w:eastAsia="zh-CN"/>
        </w:rPr>
        <w:t>小，说明CAPM模型在中国市场不太符合，存在一些问</w:t>
      </w:r>
      <w:r>
        <w:rPr>
          <w:rFonts w:hint="eastAsia" w:hAnsi="Cambria Math"/>
          <w:i w:val="0"/>
          <w:lang w:val="en-US" w:eastAsia="zh-CN"/>
        </w:rPr>
        <w:t>题。</w:t>
      </w:r>
    </w:p>
    <w:p w14:paraId="328CD6BF">
      <w:pPr>
        <w:rPr>
          <w:rFonts w:hint="eastAsia" w:ascii="Times New Roman" w:hAnsi="Times New Roman" w:eastAsia="宋体" w:cs="Times New Roman"/>
          <w:b/>
          <w:szCs w:val="22"/>
          <w:lang w:val="en-US" w:eastAsia="zh-CN"/>
        </w:rPr>
      </w:pPr>
      <w:r>
        <w:rPr>
          <w:rFonts w:hint="eastAsia" w:ascii="Times New Roman" w:hAnsi="Times New Roman" w:eastAsia="宋体" w:cs="Times New Roman"/>
          <w:b/>
          <w:szCs w:val="22"/>
          <w:lang w:val="en-US" w:eastAsia="zh-CN"/>
        </w:rPr>
        <w:t>四、结论</w:t>
      </w:r>
    </w:p>
    <w:p w14:paraId="17D695AB">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通过分析中国股市的</w:t>
      </w:r>
      <w:r>
        <w:rPr>
          <w:rFonts w:hint="eastAsia"/>
          <w:lang w:val="en-US" w:eastAsia="zh-CN"/>
        </w:rPr>
        <w:t>FF三因子模型实证结果和CAPM实证结果</w:t>
      </w:r>
      <w:r>
        <w:rPr>
          <w:rFonts w:hint="default"/>
          <w:lang w:val="en-US" w:eastAsia="zh-CN"/>
        </w:rPr>
        <w:t>，我们发现</w:t>
      </w:r>
      <w:r>
        <w:rPr>
          <w:rFonts w:hint="eastAsia"/>
          <w:lang w:val="en-US" w:eastAsia="zh-CN"/>
        </w:rPr>
        <w:t>在</w:t>
      </w:r>
      <w:r>
        <w:rPr>
          <w:rFonts w:hint="default"/>
          <w:lang w:val="en-US" w:eastAsia="zh-CN"/>
        </w:rPr>
        <w:t>中国股市</w:t>
      </w:r>
      <w:r>
        <w:rPr>
          <w:rFonts w:hint="eastAsia"/>
          <w:lang w:val="en-US" w:eastAsia="zh-CN"/>
        </w:rPr>
        <w:t>上FF三因子模型比较符合，而</w:t>
      </w:r>
      <w:r>
        <w:rPr>
          <w:rFonts w:hint="default"/>
          <w:lang w:val="en-US" w:eastAsia="zh-CN"/>
        </w:rPr>
        <w:t>CAPM模型</w:t>
      </w:r>
      <w:r>
        <w:rPr>
          <w:rFonts w:hint="eastAsia"/>
          <w:lang w:val="en-US" w:eastAsia="zh-CN"/>
        </w:rPr>
        <w:t>不太</w:t>
      </w:r>
      <w:r>
        <w:rPr>
          <w:rFonts w:hint="default"/>
          <w:lang w:val="en-US" w:eastAsia="zh-CN"/>
        </w:rPr>
        <w:t>符合。</w:t>
      </w:r>
      <w:r>
        <w:rPr>
          <w:rFonts w:hint="eastAsia"/>
          <w:lang w:val="en-US" w:eastAsia="zh-CN"/>
        </w:rPr>
        <w:t>实证结果表明，除了市场中的系统性风险之外，还有其他不可忽视的因素可以影响资产的回报，这与CAPM模型不一致。把影响股票收益率的因素全归到β因子的身上，可能是CAPM模型受到一些批判的原因。现实中，影响股票收益率高低的因素是多方面的，FF三因子模型比较符合中国股票市场，很大一部分原因在于没有孤注一掷，从系统性风险延伸到了特质性风险。后人相继提出的四因子、五因子模型也可能更显著，更符合实际情况。</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3A4CF9"/>
    <w:multiLevelType w:val="singleLevel"/>
    <w:tmpl w:val="D73A4CF9"/>
    <w:lvl w:ilvl="0" w:tentative="0">
      <w:start w:val="2"/>
      <w:numFmt w:val="decimal"/>
      <w:suff w:val="nothing"/>
      <w:lvlText w:val="%1、"/>
      <w:lvlJc w:val="left"/>
    </w:lvl>
  </w:abstractNum>
  <w:abstractNum w:abstractNumId="1">
    <w:nsid w:val="F23ED23A"/>
    <w:multiLevelType w:val="singleLevel"/>
    <w:tmpl w:val="F23ED23A"/>
    <w:lvl w:ilvl="0" w:tentative="0">
      <w:start w:val="2"/>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862A2"/>
    <w:rsid w:val="0CF52639"/>
    <w:rsid w:val="0F052882"/>
    <w:rsid w:val="17DF34B7"/>
    <w:rsid w:val="3E842BF5"/>
    <w:rsid w:val="45236E17"/>
    <w:rsid w:val="642459C9"/>
    <w:rsid w:val="762214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1473</Words>
  <Characters>2416</Characters>
  <Lines>0</Lines>
  <Paragraphs>0</Paragraphs>
  <TotalTime>5</TotalTime>
  <ScaleCrop>false</ScaleCrop>
  <LinksUpToDate>false</LinksUpToDate>
  <CharactersWithSpaces>2431</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2024-12-11T11:44:00Z</dcterms:created>
  <dc:creator>33325</dc:creator>
  <cp:lastModifiedBy>嘉</cp:lastModifiedBy>
  <dcterms:modified xsi:type="dcterms:W3CDTF">2024-12-25T01:55:30Z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CB80E4FA227746ABB81E9D7BFBE61A06_12</vt:lpwstr>
  </property>
  <property fmtid="{D5CDD505-2E9C-101B-9397-08002B2CF9AE}" pid="4" name="KSOTemplateDocerSaveRecord">
    <vt:lpwstr>eyJoZGlkIjoiMjQ1NDdmYWE5OTAyODNjOWZmNTMxMzEyYmU0MTM5NDUiLCJ1c2VySWQiOiI3ODgwMzU0NTkifQ==</vt:lpwstr>
  </property>
</Properties>
</file>