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34992">
      <w:pPr>
        <w:keepNext w:val="0"/>
        <w:ind w:firstLine="0"/>
        <w:jc w:val="center"/>
        <w:rPr>
          <w:rFonts w:hint="default" w:eastAsia="宋体"/>
          <w:b/>
          <w:bCs/>
          <w:lang w:val="en-US" w:eastAsia="zh-CN"/>
        </w:rPr>
      </w:pPr>
      <w:r>
        <w:rPr>
          <w:rFonts w:ascii="Times New Roman" w:hAnsi="Times New Roman" w:eastAsia="Times New Roman" w:cs="Times New Roman"/>
          <w:b/>
          <w:bCs/>
          <w:color w:val="000000"/>
          <w:sz w:val="24"/>
        </w:rPr>
        <w:t>COMD7290 Individual Report</w:t>
      </w:r>
      <w:r>
        <w:rPr>
          <w:rFonts w:hint="eastAsia" w:eastAsia="宋体" w:cs="Times New Roman"/>
          <w:b/>
          <w:bCs/>
          <w:color w:val="000000"/>
          <w:sz w:val="24"/>
          <w:lang w:val="en-US" w:eastAsia="zh-CN"/>
        </w:rPr>
        <w:t xml:space="preserve"> for Research Replication</w:t>
      </w:r>
    </w:p>
    <w:p w14:paraId="0DEE3C82">
      <w:pPr>
        <w:keepNext w:val="0"/>
        <w:ind w:firstLine="0"/>
        <w:jc w:val="center"/>
      </w:pPr>
      <w:r>
        <w:rPr>
          <w:rFonts w:ascii="Times New Roman" w:hAnsi="Times New Roman" w:eastAsia="Times New Roman" w:cs="Times New Roman"/>
          <w:color w:val="000000"/>
          <w:sz w:val="24"/>
        </w:rPr>
        <w:t>Ma Jiayi</w:t>
      </w:r>
    </w:p>
    <w:p w14:paraId="5A3BAEF2">
      <w:pPr>
        <w:keepNext w:val="0"/>
        <w:ind w:firstLine="0"/>
        <w:jc w:val="center"/>
      </w:pPr>
      <w:r>
        <w:rPr>
          <w:rFonts w:hint="eastAsia" w:eastAsia="宋体" w:cs="Times New Roman"/>
          <w:color w:val="000000"/>
          <w:sz w:val="24"/>
          <w:lang w:val="en-US" w:eastAsia="zh-CN"/>
        </w:rPr>
        <w:t>20</w:t>
      </w:r>
      <w:r>
        <w:rPr>
          <w:rFonts w:ascii="Times New Roman" w:hAnsi="Times New Roman" w:eastAsia="Times New Roman" w:cs="Times New Roman"/>
          <w:color w:val="000000"/>
          <w:sz w:val="24"/>
        </w:rPr>
        <w:t xml:space="preserve"> October 2026</w:t>
      </w:r>
    </w:p>
    <w:p w14:paraId="5F07C547">
      <w:pPr>
        <w:keepNext w:val="0"/>
        <w:ind w:firstLine="0"/>
        <w:jc w:val="center"/>
        <w:rPr>
          <w:rFonts w:hint="default" w:eastAsia="宋体"/>
          <w:lang w:val="en-US" w:eastAsia="zh-CN"/>
        </w:rPr>
      </w:pPr>
      <w:r>
        <w:rPr>
          <w:rFonts w:ascii="Times New Roman" w:hAnsi="Times New Roman" w:eastAsia="Times New Roman" w:cs="Times New Roman"/>
          <w:color w:val="000000"/>
          <w:sz w:val="24"/>
        </w:rPr>
        <w:t>S</w:t>
      </w:r>
      <w:r>
        <w:rPr>
          <w:rFonts w:hint="eastAsia" w:eastAsia="宋体" w:cs="Times New Roman"/>
          <w:color w:val="000000"/>
          <w:sz w:val="24"/>
          <w:lang w:val="en-US" w:eastAsia="zh-CN"/>
        </w:rPr>
        <w:t xml:space="preserve">tudent No.: 26480050 </w:t>
      </w:r>
    </w:p>
    <w:p w14:paraId="1EC120B4">
      <w:pPr>
        <w:keepNext w:val="0"/>
        <w:ind w:firstLine="0"/>
        <w:jc w:val="center"/>
      </w:pPr>
      <w:r>
        <w:rPr>
          <w:rFonts w:ascii="Times New Roman" w:hAnsi="Times New Roman" w:eastAsia="Times New Roman" w:cs="Times New Roman"/>
          <w:color w:val="000000"/>
          <w:sz w:val="24"/>
        </w:rPr>
        <w:t>Article by Löb et al. (2024)</w:t>
      </w:r>
    </w:p>
    <w:p w14:paraId="2D88DF23">
      <w:pPr>
        <w:keepNext w:val="0"/>
        <w:ind w:firstLine="0"/>
        <w:jc w:val="center"/>
      </w:pPr>
      <w:r>
        <w:rPr>
          <w:rFonts w:ascii="Times New Roman" w:hAnsi="Times New Roman" w:eastAsia="Times New Roman" w:cs="Times New Roman"/>
          <w:color w:val="000000"/>
          <w:sz w:val="24"/>
        </w:rPr>
        <w:t>https://doi.org/10.1177/19401612221084206</w:t>
      </w:r>
    </w:p>
    <w:p w14:paraId="0594AD16">
      <w:pPr>
        <w:keepNext w:val="0"/>
        <w:ind w:firstLine="0"/>
        <w:jc w:val="center"/>
        <w:rPr>
          <w:rStyle w:val="134"/>
        </w:rPr>
      </w:pPr>
      <w:r>
        <w:rPr>
          <w:rFonts w:ascii="Times New Roman" w:hAnsi="Times New Roman" w:eastAsia="Times New Roman" w:cs="Times New Roman"/>
          <w:color w:val="000000"/>
          <w:sz w:val="24"/>
          <w:u w:val="none"/>
        </w:rPr>
        <w:fldChar w:fldCharType="begin"/>
      </w:r>
      <w:r>
        <w:rPr>
          <w:rFonts w:ascii="Times New Roman" w:hAnsi="Times New Roman" w:eastAsia="Times New Roman" w:cs="Times New Roman"/>
          <w:color w:val="000000"/>
          <w:sz w:val="24"/>
          <w:u w:val="none"/>
        </w:rPr>
        <w:instrText xml:space="preserve"> HYPERLINK "https://github.com/jiayima961/COMD7290-Research-Replication-Ma-Jiayi" </w:instrText>
      </w:r>
      <w:r>
        <w:rPr>
          <w:rFonts w:ascii="Times New Roman" w:hAnsi="Times New Roman" w:eastAsia="Times New Roman" w:cs="Times New Roman"/>
          <w:color w:val="000000"/>
          <w:sz w:val="24"/>
          <w:u w:val="none"/>
        </w:rPr>
        <w:fldChar w:fldCharType="separate"/>
      </w:r>
      <w:r>
        <w:rPr>
          <w:rStyle w:val="134"/>
          <w:rFonts w:ascii="Times New Roman" w:hAnsi="Times New Roman" w:eastAsia="Times New Roman" w:cs="Times New Roman"/>
          <w:sz w:val="24"/>
        </w:rPr>
        <w:t>https://github.com/jiayima961/COMD7290-Research-Replication-Ma-Jiayi</w:t>
      </w:r>
    </w:p>
    <w:p w14:paraId="18C87BC7">
      <w:pPr>
        <w:keepNext w:val="0"/>
        <w:ind w:firstLine="0"/>
        <w:jc w:val="center"/>
        <w:rPr>
          <w:rFonts w:hint="default" w:eastAsia="宋体"/>
          <w:lang w:val="en-US" w:eastAsia="zh-CN"/>
        </w:rPr>
      </w:pPr>
      <w:r>
        <w:rPr>
          <w:rFonts w:ascii="Times New Roman" w:hAnsi="Times New Roman" w:eastAsia="Times New Roman" w:cs="Times New Roman"/>
          <w:color w:val="000000"/>
          <w:sz w:val="24"/>
          <w:u w:val="none"/>
        </w:rPr>
        <w:fldChar w:fldCharType="end"/>
      </w:r>
      <w:r>
        <w:rPr>
          <w:rFonts w:ascii="Times New Roman" w:hAnsi="Times New Roman" w:eastAsia="Times New Roman" w:cs="Times New Roman"/>
          <w:color w:val="000000"/>
          <w:sz w:val="24"/>
        </w:rPr>
        <w:t xml:space="preserve">Instructor collaborator </w:t>
      </w:r>
      <w:r>
        <w:rPr>
          <w:rFonts w:hint="eastAsia" w:eastAsia="宋体" w:cs="Times New Roman"/>
          <w:color w:val="000000"/>
          <w:sz w:val="24"/>
          <w:lang w:val="en-US" w:eastAsia="zh-CN"/>
        </w:rPr>
        <w:t>has been invited (pending invite)</w:t>
      </w:r>
    </w:p>
    <w:p w14:paraId="3607374F">
      <w:pPr>
        <w:keepNext w:val="0"/>
        <w:ind w:firstLine="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Assessed release</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COMD7290 Final Submission_MJY</w:t>
      </w:r>
    </w:p>
    <w:p w14:paraId="4107F76A">
      <w:pPr>
        <w:keepNext w:val="0"/>
        <w:ind w:firstLine="0"/>
        <w:jc w:val="center"/>
        <w:rPr>
          <w:rFonts w:hint="default" w:ascii="Times New Roman" w:hAnsi="Times New Roman" w:eastAsia="宋体" w:cs="Times New Roman"/>
          <w:color w:val="000000"/>
          <w:sz w:val="24"/>
          <w:lang w:val="en-US" w:eastAsia="zh-CN"/>
        </w:rPr>
      </w:pPr>
      <w:r>
        <w:rPr>
          <w:rFonts w:hint="eastAsia" w:eastAsia="宋体" w:cs="Times New Roman"/>
          <w:color w:val="000000"/>
          <w:sz w:val="24"/>
          <w:lang w:val="en-US" w:eastAsia="zh-CN"/>
        </w:rPr>
        <w:t>F</w:t>
      </w:r>
      <w:r>
        <w:rPr>
          <w:rFonts w:ascii="Times New Roman" w:hAnsi="Times New Roman" w:eastAsia="Times New Roman" w:cs="Times New Roman"/>
          <w:color w:val="000000"/>
          <w:sz w:val="24"/>
        </w:rPr>
        <w:t>ull commit identifier</w:t>
      </w:r>
      <w:r>
        <w:rPr>
          <w:rFonts w:hint="eastAsia" w:eastAsia="宋体" w:cs="Times New Roman"/>
          <w:color w:val="000000"/>
          <w:sz w:val="24"/>
          <w:lang w:val="en-US" w:eastAsia="zh-CN"/>
        </w:rPr>
        <w:t>: 112d7b0b6055d8cc5b7357efb9d18297a9b7d902</w:t>
      </w:r>
      <w:bookmarkStart w:id="0" w:name="_GoBack"/>
      <w:bookmarkEnd w:id="0"/>
    </w:p>
    <w:p w14:paraId="44900190">
      <w:r>
        <w:rPr>
          <w:rFonts w:ascii="Times New Roman" w:hAnsi="Times New Roman" w:eastAsia="Times New Roman" w:cs="Times New Roman"/>
          <w:color w:val="000000"/>
          <w:sz w:val="24"/>
        </w:rPr>
        <w:br w:type="page"/>
      </w:r>
    </w:p>
    <w:p w14:paraId="3B7F6946">
      <w:pPr>
        <w:pStyle w:val="3"/>
      </w:pPr>
      <w:r>
        <w:rPr>
          <w:rFonts w:ascii="Times New Roman" w:hAnsi="Times New Roman" w:eastAsia="Times New Roman" w:cs="Times New Roman"/>
          <w:color w:val="000000"/>
          <w:sz w:val="24"/>
        </w:rPr>
        <w:t>Research Significance and Theoretical Reconstruction</w:t>
      </w:r>
    </w:p>
    <w:p w14:paraId="4BC63374">
      <w:r>
        <w:rPr>
          <w:rFonts w:ascii="Times New Roman" w:hAnsi="Times New Roman" w:eastAsia="Times New Roman" w:cs="Times New Roman"/>
          <w:color w:val="000000"/>
          <w:sz w:val="24"/>
        </w:rPr>
        <w:t>Civility is a central concern in democratic public discourse because hostile communication can undermine social respect and the quality of public debate. Löb et al. (2024) identify inconsistent definitions of civility, insufficient attention to its positive dimension and limited comparative evidence explaining differences across political and media settings. Drawing on deliberative democratic theory and recognition theory, they distinguish outrage from explicit recognition of others’ needs, equal standing and contributions. Their study examines how political institutions, division over secularism and news production relate to these communication styles in religion-related debates across six democracies. This reproduction assesses whether the findings can be recovered in Python under the authors’ documented statistical specification.</w:t>
      </w:r>
    </w:p>
    <w:p w14:paraId="170E5283">
      <w:r>
        <w:rPr>
          <w:rFonts w:ascii="Times New Roman" w:hAnsi="Times New Roman" w:eastAsia="Times New Roman" w:cs="Times New Roman"/>
          <w:color w:val="000000"/>
          <w:sz w:val="24"/>
        </w:rPr>
        <w:t>The hypotheses connect these normative concepts to explanatory mechanisms. Consensus institutions require accommodation and compromise, whereas majoritarian institutions concentrate power. The authors therefore predict more outrage under majoritarian institutions (H1a) and more recognition under consensus institutions (H1b). Contested secularism makes opposing identities salient and can discourage engagement across group boundaries, motivating predictions of more outrage (H2a) and less recognition (H2b).</w:t>
      </w:r>
    </w:p>
    <w:p w14:paraId="61DEA71D">
      <w:r>
        <w:rPr>
          <w:rFonts w:ascii="Times New Roman" w:hAnsi="Times New Roman" w:eastAsia="Times New Roman" w:cs="Times New Roman"/>
          <w:color w:val="000000"/>
          <w:sz w:val="24"/>
        </w:rPr>
        <w:t>Professional journalism provides a third explanation. Editorial oversight and professional norms may restrain hostile expression and encourage respectful treatment, while political blogs face weaker organizational controls and incentives to attract attention. Accordingly, blogs should contain more outrage (H3a), while newspapers and news websites should contain more recognition (H3b). These are proposed mechanisms, not directly measured mediators. Measuring outrage and recognition separately allows the analysis to establish whether the same conditions are associated with both.</w:t>
      </w:r>
    </w:p>
    <w:p w14:paraId="6BD11F61">
      <w:pPr>
        <w:pStyle w:val="3"/>
      </w:pPr>
      <w:r>
        <w:rPr>
          <w:rFonts w:ascii="Times New Roman" w:hAnsi="Times New Roman" w:eastAsia="Times New Roman" w:cs="Times New Roman"/>
          <w:color w:val="000000"/>
          <w:sz w:val="24"/>
        </w:rPr>
        <w:t>Reproduction Design and Use of the Three Skills</w:t>
      </w:r>
    </w:p>
    <w:p w14:paraId="63EE6AA6">
      <w:r>
        <w:rPr>
          <w:rFonts w:ascii="Times New Roman" w:hAnsi="Times New Roman" w:eastAsia="Times New Roman" w:cs="Times New Roman"/>
          <w:color w:val="000000"/>
          <w:sz w:val="24"/>
        </w:rPr>
        <w:t>The reproduction used the authors’ archived inputs, covering 1,700 news items and 3,770 actor references. Independent-rating files supplied the reliability calculations. M1 used ordered logistic regression for item-level outrage, while M2 and M3 used multilevel logistic regression for binary reference-level outrage and recognition. References were grouped within originating actors or statements nested within items. Python retained the documented recodes, predictors, reference categories and seven-point integration setting for the binary models (StataCorp, 2019).</w:t>
      </w:r>
    </w:p>
    <w:p w14:paraId="4A3E9686">
      <w:r>
        <w:rPr>
          <w:rFonts w:ascii="Times New Roman" w:hAnsi="Times New Roman" w:eastAsia="Times New Roman" w:cs="Times New Roman"/>
          <w:color w:val="000000"/>
          <w:sz w:val="24"/>
        </w:rPr>
        <w:t xml:space="preserve">The three skills are reusable agent instructions with supporting resources, invoked by name from the repository root. The first, </w:t>
      </w:r>
      <w:r>
        <w:rPr>
          <w:rFonts w:ascii="Times New Roman" w:hAnsi="Times New Roman" w:eastAsia="Times New Roman" w:cs="Times New Roman"/>
          <w:i/>
          <w:iCs/>
          <w:color w:val="000000"/>
          <w:sz w:val="24"/>
        </w:rPr>
        <w:t>specify-empirical-study</w:t>
      </w:r>
      <w:r>
        <w:rPr>
          <w:rFonts w:ascii="Times New Roman" w:hAnsi="Times New Roman" w:eastAsia="Times New Roman" w:cs="Times New Roman"/>
          <w:color w:val="000000"/>
          <w:sz w:val="24"/>
        </w:rPr>
        <w:t>, reconstructed the theory-to-analysis chain from the article, codebooks and author syntax. It connected each hypothesis to variables, comparisons and models, producing the hypothesis matrix, variable dictionary, model specification and diagram. It also reviewed the student’s initial and revised explanations while preserving both versions and distinguishing original predictions from interpretations made after seeing results.</w:t>
      </w:r>
    </w:p>
    <w:p w14:paraId="5F0453E7">
      <w:r>
        <w:rPr>
          <w:rFonts w:ascii="Times New Roman" w:hAnsi="Times New Roman" w:eastAsia="Times New Roman" w:cs="Times New Roman"/>
          <w:color w:val="000000"/>
          <w:sz w:val="24"/>
        </w:rPr>
        <w:t xml:space="preserve">The second, </w:t>
      </w:r>
      <w:r>
        <w:rPr>
          <w:rFonts w:ascii="Times New Roman" w:hAnsi="Times New Roman" w:eastAsia="Times New Roman" w:cs="Times New Roman"/>
          <w:i/>
          <w:iCs/>
          <w:color w:val="000000"/>
          <w:sz w:val="24"/>
        </w:rPr>
        <w:t>reproduce-and-diagnose</w:t>
      </w:r>
      <w:r>
        <w:rPr>
          <w:rFonts w:ascii="Times New Roman" w:hAnsi="Times New Roman" w:eastAsia="Times New Roman" w:cs="Times New Roman"/>
          <w:color w:val="000000"/>
          <w:sz w:val="24"/>
        </w:rPr>
        <w:t>, used that specification to check coding, missing values, identifiers and nesting before calculating reliability, descriptives, models, predictions and marginal effects. It saved estimates, uncertainty, diagnostics and execution logs. Failed diagnostics were retained for review.</w:t>
      </w:r>
    </w:p>
    <w:p w14:paraId="2714FD79">
      <w:r>
        <w:rPr>
          <w:rFonts w:ascii="Times New Roman" w:hAnsi="Times New Roman" w:eastAsia="Times New Roman" w:cs="Times New Roman"/>
          <w:color w:val="000000"/>
          <w:sz w:val="24"/>
        </w:rPr>
        <w:t xml:space="preserve">The third, </w:t>
      </w:r>
      <w:r>
        <w:rPr>
          <w:rFonts w:ascii="Times New Roman" w:hAnsi="Times New Roman" w:eastAsia="Times New Roman" w:cs="Times New Roman"/>
          <w:i/>
          <w:iCs/>
          <w:color w:val="000000"/>
          <w:sz w:val="24"/>
        </w:rPr>
        <w:t>verify-and-package</w:t>
      </w:r>
      <w:r>
        <w:rPr>
          <w:rFonts w:ascii="Times New Roman" w:hAnsi="Times New Roman" w:eastAsia="Times New Roman" w:cs="Times New Roman"/>
          <w:color w:val="000000"/>
          <w:sz w:val="24"/>
        </w:rPr>
        <w:t>, compared these outputs with published targets, distinguished discrepancies from unavailable quantities, and organized the evidence for review. Checks included a separate M1 implementation, independent binary-likelihood calculations, intentional error detection and recovery, complete reruns, and country-deletion sensitivity analysis. The first skill’s specification guided the second skill’s execution, whose numerical files became the third skill’s verification inputs. These saved handoffs allow another agent to resume work from recorded evidence. Scientific acceptance remains the student’s responsibility.</w:t>
      </w:r>
    </w:p>
    <w:p w14:paraId="1B887144">
      <w:pPr>
        <w:pStyle w:val="3"/>
      </w:pPr>
      <w:r>
        <w:rPr>
          <w:rFonts w:ascii="Times New Roman" w:hAnsi="Times New Roman" w:eastAsia="Times New Roman" w:cs="Times New Roman"/>
          <w:color w:val="000000"/>
          <w:sz w:val="24"/>
        </w:rPr>
        <w:t>Results and Reconciliation</w:t>
      </w:r>
    </w:p>
    <w:p w14:paraId="75C11C90">
      <w:r>
        <w:rPr>
          <w:rFonts w:ascii="Times New Roman" w:hAnsi="Times New Roman" w:eastAsia="Times New Roman" w:cs="Times New Roman"/>
          <w:color w:val="000000"/>
          <w:sz w:val="24"/>
        </w:rPr>
        <w:t>The reproduction recovered the article’s main hypothesis conclusions. Of 376 numeric publication targets, 362 agreed at reported precision, 13 differed, and one published p value could not be validated. These totals include different types of reported quantities. Table 1 distinguishes agreement with published findings from support for the original predictions. Agreement extended across reliability, descriptives, model estimates and probability summaries.</w:t>
      </w:r>
    </w:p>
    <w:p w14:paraId="7E24B0CB">
      <w:pPr>
        <w:keepNext/>
        <w:ind w:firstLine="0"/>
        <w:jc w:val="center"/>
      </w:pPr>
      <w:r>
        <w:rPr>
          <w:rFonts w:ascii="Times New Roman" w:hAnsi="Times New Roman" w:eastAsia="Times New Roman" w:cs="Times New Roman"/>
          <w:b/>
          <w:color w:val="000000"/>
          <w:sz w:val="21"/>
          <w:szCs w:val="21"/>
        </w:rPr>
        <w:t>Table 1</w:t>
      </w:r>
      <w:r>
        <w:rPr>
          <w:rFonts w:hint="eastAsia" w:eastAsia="宋体" w:cs="Times New Roman"/>
          <w:b/>
          <w:color w:val="000000"/>
          <w:sz w:val="21"/>
          <w:szCs w:val="21"/>
          <w:lang w:val="en-US" w:eastAsia="zh-CN"/>
        </w:rPr>
        <w:t xml:space="preserve"> </w:t>
      </w:r>
      <w:r>
        <w:rPr>
          <w:rFonts w:ascii="Times New Roman" w:hAnsi="Times New Roman" w:eastAsia="Times New Roman" w:cs="Times New Roman"/>
          <w:i w:val="0"/>
          <w:iCs/>
          <w:color w:val="000000"/>
          <w:sz w:val="21"/>
          <w:szCs w:val="21"/>
        </w:rPr>
        <w:t>Comparison of published and reproduced hypothesis findings</w:t>
      </w:r>
    </w:p>
    <w:tbl>
      <w:tblPr>
        <w:tblStyle w:val="32"/>
        <w:tblW w:w="0" w:type="auto"/>
        <w:tblInd w:w="0" w:type="dxa"/>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045"/>
        <w:gridCol w:w="1786"/>
        <w:gridCol w:w="4363"/>
        <w:gridCol w:w="1166"/>
      </w:tblGrid>
      <w:tr w14:paraId="26C567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blHeader/>
        </w:trPr>
        <w:tc>
          <w:tcPr>
            <w:tcW w:w="2045" w:type="dxa"/>
            <w:tcBorders>
              <w:bottom w:val="single" w:color="auto" w:sz="6" w:space="0"/>
            </w:tcBorders>
          </w:tcPr>
          <w:p w14:paraId="6E569167">
            <w:pPr>
              <w:spacing w:before="100" w:after="100" w:line="240" w:lineRule="auto"/>
              <w:ind w:firstLine="0"/>
              <w:jc w:val="center"/>
            </w:pPr>
            <w:r>
              <w:rPr>
                <w:rFonts w:ascii="Times New Roman" w:hAnsi="Times New Roman" w:eastAsia="Times New Roman" w:cs="Times New Roman"/>
                <w:b/>
                <w:color w:val="000000"/>
                <w:sz w:val="24"/>
              </w:rPr>
              <w:t>Hypothesis</w:t>
            </w:r>
          </w:p>
        </w:tc>
        <w:tc>
          <w:tcPr>
            <w:tcW w:w="1786" w:type="dxa"/>
            <w:tcBorders>
              <w:bottom w:val="single" w:color="auto" w:sz="6" w:space="0"/>
            </w:tcBorders>
          </w:tcPr>
          <w:p w14:paraId="1DCFBD49">
            <w:pPr>
              <w:spacing w:before="100" w:after="100" w:line="240" w:lineRule="auto"/>
              <w:ind w:firstLine="0"/>
              <w:jc w:val="center"/>
            </w:pPr>
            <w:r>
              <w:rPr>
                <w:rFonts w:ascii="Times New Roman" w:hAnsi="Times New Roman" w:eastAsia="Times New Roman" w:cs="Times New Roman"/>
                <w:b/>
                <w:color w:val="000000"/>
                <w:sz w:val="24"/>
              </w:rPr>
              <w:t>Published finding</w:t>
            </w:r>
          </w:p>
        </w:tc>
        <w:tc>
          <w:tcPr>
            <w:tcW w:w="4363" w:type="dxa"/>
            <w:tcBorders>
              <w:bottom w:val="single" w:color="auto" w:sz="6" w:space="0"/>
            </w:tcBorders>
          </w:tcPr>
          <w:p w14:paraId="054CDC44">
            <w:pPr>
              <w:spacing w:before="100" w:after="100" w:line="240" w:lineRule="auto"/>
              <w:ind w:firstLine="0"/>
              <w:jc w:val="center"/>
            </w:pPr>
            <w:r>
              <w:rPr>
                <w:rFonts w:ascii="Times New Roman" w:hAnsi="Times New Roman" w:eastAsia="Times New Roman" w:cs="Times New Roman"/>
                <w:b/>
                <w:color w:val="000000"/>
                <w:sz w:val="24"/>
              </w:rPr>
              <w:t>Python reproduction</w:t>
            </w:r>
          </w:p>
        </w:tc>
        <w:tc>
          <w:tcPr>
            <w:tcW w:w="1166" w:type="dxa"/>
            <w:tcBorders>
              <w:bottom w:val="single" w:color="auto" w:sz="6" w:space="0"/>
            </w:tcBorders>
          </w:tcPr>
          <w:p w14:paraId="636EC33A">
            <w:pPr>
              <w:spacing w:before="100" w:after="100" w:line="240" w:lineRule="auto"/>
              <w:ind w:firstLine="0"/>
              <w:jc w:val="center"/>
            </w:pPr>
            <w:r>
              <w:rPr>
                <w:rFonts w:ascii="Times New Roman" w:hAnsi="Times New Roman" w:eastAsia="Times New Roman" w:cs="Times New Roman"/>
                <w:b/>
                <w:color w:val="000000"/>
                <w:sz w:val="24"/>
              </w:rPr>
              <w:t>Match</w:t>
            </w:r>
          </w:p>
        </w:tc>
      </w:tr>
      <w:tr w14:paraId="1B8A70F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045" w:type="dxa"/>
          </w:tcPr>
          <w:p w14:paraId="11F994EB">
            <w:pPr>
              <w:spacing w:before="100" w:after="100" w:line="240" w:lineRule="auto"/>
              <w:ind w:firstLine="0"/>
              <w:jc w:val="left"/>
            </w:pPr>
            <w:r>
              <w:rPr>
                <w:rFonts w:ascii="Times New Roman" w:hAnsi="Times New Roman" w:eastAsia="Times New Roman" w:cs="Times New Roman"/>
                <w:color w:val="000000"/>
                <w:sz w:val="24"/>
              </w:rPr>
              <w:t>H1a</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More outrage in majoritarian systems</w:t>
            </w:r>
          </w:p>
        </w:tc>
        <w:tc>
          <w:tcPr>
            <w:tcW w:w="1786" w:type="dxa"/>
          </w:tcPr>
          <w:p w14:paraId="5E864700">
            <w:pPr>
              <w:spacing w:before="100" w:after="100" w:line="240" w:lineRule="auto"/>
              <w:ind w:firstLine="0"/>
              <w:jc w:val="center"/>
            </w:pPr>
            <w:r>
              <w:rPr>
                <w:rFonts w:ascii="Times New Roman" w:hAnsi="Times New Roman" w:eastAsia="Times New Roman" w:cs="Times New Roman"/>
                <w:color w:val="000000"/>
                <w:sz w:val="24"/>
              </w:rPr>
              <w:t>Not supported</w:t>
            </w:r>
          </w:p>
        </w:tc>
        <w:tc>
          <w:tcPr>
            <w:tcW w:w="4363" w:type="dxa"/>
          </w:tcPr>
          <w:p w14:paraId="2F72E486">
            <w:pPr>
              <w:spacing w:before="100" w:after="100" w:line="240" w:lineRule="auto"/>
              <w:ind w:firstLine="0"/>
            </w:pPr>
            <w:r>
              <w:rPr>
                <w:rFonts w:ascii="Times New Roman" w:hAnsi="Times New Roman" w:eastAsia="Times New Roman" w:cs="Times New Roman"/>
                <w:color w:val="000000"/>
                <w:sz w:val="24"/>
              </w:rPr>
              <w:t>Item OR = 0.54, significant and opposite to prediction. Reference comparison not significant.</w:t>
            </w:r>
          </w:p>
        </w:tc>
        <w:tc>
          <w:tcPr>
            <w:tcW w:w="1166" w:type="dxa"/>
          </w:tcPr>
          <w:p w14:paraId="31B7AC0B">
            <w:pPr>
              <w:spacing w:before="100" w:after="100" w:line="240" w:lineRule="auto"/>
              <w:ind w:firstLine="0"/>
              <w:jc w:val="center"/>
            </w:pPr>
            <w:r>
              <w:rPr>
                <w:rFonts w:ascii="Times New Roman" w:hAnsi="Times New Roman" w:eastAsia="Times New Roman" w:cs="Times New Roman"/>
                <w:color w:val="000000"/>
                <w:sz w:val="24"/>
              </w:rPr>
              <w:t>Yes</w:t>
            </w:r>
          </w:p>
        </w:tc>
      </w:tr>
      <w:tr w14:paraId="69331B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045" w:type="dxa"/>
          </w:tcPr>
          <w:p w14:paraId="1304FE04">
            <w:pPr>
              <w:spacing w:before="100" w:after="100" w:line="240" w:lineRule="auto"/>
              <w:ind w:firstLine="0"/>
              <w:jc w:val="left"/>
            </w:pPr>
            <w:r>
              <w:rPr>
                <w:rFonts w:ascii="Times New Roman" w:hAnsi="Times New Roman" w:eastAsia="Times New Roman" w:cs="Times New Roman"/>
                <w:color w:val="000000"/>
                <w:sz w:val="24"/>
              </w:rPr>
              <w:t>H1b</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More recognition in consensus systems</w:t>
            </w:r>
          </w:p>
        </w:tc>
        <w:tc>
          <w:tcPr>
            <w:tcW w:w="1786" w:type="dxa"/>
          </w:tcPr>
          <w:p w14:paraId="7577D403">
            <w:pPr>
              <w:spacing w:before="100" w:after="100" w:line="240" w:lineRule="auto"/>
              <w:ind w:firstLine="0"/>
              <w:jc w:val="center"/>
            </w:pPr>
            <w:r>
              <w:rPr>
                <w:rFonts w:ascii="Times New Roman" w:hAnsi="Times New Roman" w:eastAsia="Times New Roman" w:cs="Times New Roman"/>
                <w:color w:val="000000"/>
                <w:sz w:val="24"/>
              </w:rPr>
              <w:t>Not supported</w:t>
            </w:r>
          </w:p>
        </w:tc>
        <w:tc>
          <w:tcPr>
            <w:tcW w:w="4363" w:type="dxa"/>
          </w:tcPr>
          <w:p w14:paraId="643B2981">
            <w:pPr>
              <w:spacing w:before="100" w:after="100" w:line="240" w:lineRule="auto"/>
              <w:ind w:firstLine="0"/>
            </w:pPr>
            <w:r>
              <w:rPr>
                <w:rFonts w:ascii="Times New Roman" w:hAnsi="Times New Roman" w:eastAsia="Times New Roman" w:cs="Times New Roman"/>
                <w:color w:val="000000"/>
                <w:sz w:val="24"/>
              </w:rPr>
              <w:t>Majoritarian versus consensus recognition OR = 0.58, not significant.</w:t>
            </w:r>
          </w:p>
        </w:tc>
        <w:tc>
          <w:tcPr>
            <w:tcW w:w="1166" w:type="dxa"/>
          </w:tcPr>
          <w:p w14:paraId="39529A51">
            <w:pPr>
              <w:spacing w:before="100" w:after="100" w:line="240" w:lineRule="auto"/>
              <w:ind w:firstLine="0"/>
              <w:jc w:val="center"/>
            </w:pPr>
            <w:r>
              <w:rPr>
                <w:rFonts w:ascii="Times New Roman" w:hAnsi="Times New Roman" w:eastAsia="Times New Roman" w:cs="Times New Roman"/>
                <w:color w:val="000000"/>
                <w:sz w:val="24"/>
              </w:rPr>
              <w:t>Yes</w:t>
            </w:r>
          </w:p>
        </w:tc>
      </w:tr>
      <w:tr w14:paraId="66C25D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045" w:type="dxa"/>
          </w:tcPr>
          <w:p w14:paraId="3ACDB405">
            <w:pPr>
              <w:spacing w:before="100" w:after="100" w:line="240" w:lineRule="auto"/>
              <w:ind w:firstLine="0"/>
              <w:jc w:val="left"/>
            </w:pPr>
            <w:r>
              <w:rPr>
                <w:rFonts w:ascii="Times New Roman" w:hAnsi="Times New Roman" w:eastAsia="Times New Roman" w:cs="Times New Roman"/>
                <w:color w:val="000000"/>
                <w:sz w:val="24"/>
              </w:rPr>
              <w:t>H2a</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More outrage under contested secularism</w:t>
            </w:r>
          </w:p>
        </w:tc>
        <w:tc>
          <w:tcPr>
            <w:tcW w:w="1786" w:type="dxa"/>
          </w:tcPr>
          <w:p w14:paraId="65885DED">
            <w:pPr>
              <w:spacing w:before="100" w:after="100" w:line="240" w:lineRule="auto"/>
              <w:ind w:firstLine="0"/>
              <w:jc w:val="center"/>
            </w:pPr>
            <w:r>
              <w:rPr>
                <w:rFonts w:ascii="Times New Roman" w:hAnsi="Times New Roman" w:eastAsia="Times New Roman" w:cs="Times New Roman"/>
                <w:color w:val="000000"/>
                <w:sz w:val="24"/>
              </w:rPr>
              <w:t>Supported for item tone only</w:t>
            </w:r>
          </w:p>
        </w:tc>
        <w:tc>
          <w:tcPr>
            <w:tcW w:w="4363" w:type="dxa"/>
          </w:tcPr>
          <w:p w14:paraId="48E38415">
            <w:pPr>
              <w:spacing w:before="100" w:after="100" w:line="240" w:lineRule="auto"/>
              <w:ind w:firstLine="0"/>
            </w:pPr>
            <w:r>
              <w:rPr>
                <w:rFonts w:ascii="Times New Roman" w:hAnsi="Times New Roman" w:eastAsia="Times New Roman" w:cs="Times New Roman"/>
                <w:color w:val="000000"/>
                <w:sz w:val="24"/>
              </w:rPr>
              <w:t>Item OR = 1.69, significant. Reference OR = 0.88, not significant.</w:t>
            </w:r>
          </w:p>
        </w:tc>
        <w:tc>
          <w:tcPr>
            <w:tcW w:w="1166" w:type="dxa"/>
          </w:tcPr>
          <w:p w14:paraId="386F036D">
            <w:pPr>
              <w:spacing w:before="100" w:after="100" w:line="240" w:lineRule="auto"/>
              <w:ind w:firstLine="0"/>
              <w:jc w:val="center"/>
            </w:pPr>
            <w:r>
              <w:rPr>
                <w:rFonts w:ascii="Times New Roman" w:hAnsi="Times New Roman" w:eastAsia="Times New Roman" w:cs="Times New Roman"/>
                <w:color w:val="000000"/>
                <w:sz w:val="24"/>
              </w:rPr>
              <w:t>Yes</w:t>
            </w:r>
          </w:p>
        </w:tc>
      </w:tr>
      <w:tr w14:paraId="7832E65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045" w:type="dxa"/>
          </w:tcPr>
          <w:p w14:paraId="1CFB9E1C">
            <w:pPr>
              <w:spacing w:before="100" w:after="100" w:line="240" w:lineRule="auto"/>
              <w:ind w:firstLine="0"/>
              <w:jc w:val="left"/>
            </w:pPr>
            <w:r>
              <w:rPr>
                <w:rFonts w:ascii="Times New Roman" w:hAnsi="Times New Roman" w:eastAsia="Times New Roman" w:cs="Times New Roman"/>
                <w:color w:val="000000"/>
                <w:sz w:val="24"/>
              </w:rPr>
              <w:t>H2b</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Less recognition under contested secularism</w:t>
            </w:r>
          </w:p>
        </w:tc>
        <w:tc>
          <w:tcPr>
            <w:tcW w:w="1786" w:type="dxa"/>
          </w:tcPr>
          <w:p w14:paraId="67DD26C6">
            <w:pPr>
              <w:spacing w:before="100" w:after="100" w:line="240" w:lineRule="auto"/>
              <w:ind w:firstLine="0"/>
              <w:jc w:val="center"/>
            </w:pPr>
            <w:r>
              <w:rPr>
                <w:rFonts w:ascii="Times New Roman" w:hAnsi="Times New Roman" w:eastAsia="Times New Roman" w:cs="Times New Roman"/>
                <w:color w:val="000000"/>
                <w:sz w:val="24"/>
              </w:rPr>
              <w:t>Significant in opposite direction</w:t>
            </w:r>
          </w:p>
        </w:tc>
        <w:tc>
          <w:tcPr>
            <w:tcW w:w="4363" w:type="dxa"/>
          </w:tcPr>
          <w:p w14:paraId="05F1632A">
            <w:pPr>
              <w:spacing w:before="100" w:after="100" w:line="240" w:lineRule="auto"/>
              <w:ind w:firstLine="0"/>
            </w:pPr>
            <w:r>
              <w:rPr>
                <w:rFonts w:ascii="Times New Roman" w:hAnsi="Times New Roman" w:eastAsia="Times New Roman" w:cs="Times New Roman"/>
                <w:color w:val="000000"/>
                <w:sz w:val="24"/>
              </w:rPr>
              <w:t>Recognition was higher, with OR = 2.20.</w:t>
            </w:r>
          </w:p>
        </w:tc>
        <w:tc>
          <w:tcPr>
            <w:tcW w:w="1166" w:type="dxa"/>
          </w:tcPr>
          <w:p w14:paraId="419CA3BC">
            <w:pPr>
              <w:spacing w:before="100" w:after="100" w:line="240" w:lineRule="auto"/>
              <w:ind w:firstLine="0"/>
              <w:jc w:val="center"/>
            </w:pPr>
            <w:r>
              <w:rPr>
                <w:rFonts w:ascii="Times New Roman" w:hAnsi="Times New Roman" w:eastAsia="Times New Roman" w:cs="Times New Roman"/>
                <w:color w:val="000000"/>
                <w:sz w:val="24"/>
              </w:rPr>
              <w:t>Yes</w:t>
            </w:r>
          </w:p>
        </w:tc>
      </w:tr>
      <w:tr w14:paraId="15745A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045" w:type="dxa"/>
          </w:tcPr>
          <w:p w14:paraId="2E116409">
            <w:pPr>
              <w:spacing w:before="100" w:after="100" w:line="240" w:lineRule="auto"/>
              <w:ind w:firstLine="0"/>
              <w:jc w:val="left"/>
            </w:pPr>
            <w:r>
              <w:rPr>
                <w:rFonts w:ascii="Times New Roman" w:hAnsi="Times New Roman" w:eastAsia="Times New Roman" w:cs="Times New Roman"/>
                <w:color w:val="000000"/>
                <w:sz w:val="24"/>
              </w:rPr>
              <w:t>H3a</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More outrage in blogs</w:t>
            </w:r>
          </w:p>
        </w:tc>
        <w:tc>
          <w:tcPr>
            <w:tcW w:w="1786" w:type="dxa"/>
          </w:tcPr>
          <w:p w14:paraId="08078C26">
            <w:pPr>
              <w:spacing w:before="100" w:after="100" w:line="240" w:lineRule="auto"/>
              <w:ind w:firstLine="0"/>
              <w:jc w:val="center"/>
            </w:pPr>
            <w:r>
              <w:rPr>
                <w:rFonts w:ascii="Times New Roman" w:hAnsi="Times New Roman" w:eastAsia="Times New Roman" w:cs="Times New Roman"/>
                <w:color w:val="000000"/>
                <w:sz w:val="24"/>
              </w:rPr>
              <w:t>Supported</w:t>
            </w:r>
          </w:p>
        </w:tc>
        <w:tc>
          <w:tcPr>
            <w:tcW w:w="4363" w:type="dxa"/>
          </w:tcPr>
          <w:p w14:paraId="092AC85D">
            <w:pPr>
              <w:spacing w:before="100" w:after="100" w:line="240" w:lineRule="auto"/>
              <w:ind w:firstLine="0"/>
            </w:pPr>
            <w:r>
              <w:rPr>
                <w:rFonts w:ascii="Times New Roman" w:hAnsi="Times New Roman" w:eastAsia="Times New Roman" w:cs="Times New Roman"/>
                <w:color w:val="000000"/>
                <w:sz w:val="24"/>
              </w:rPr>
              <w:t>Website and newspaper ORs = 0.17 and 0.28 for tone, and 0.23 and 0.34 for references. All significant.</w:t>
            </w:r>
          </w:p>
        </w:tc>
        <w:tc>
          <w:tcPr>
            <w:tcW w:w="1166" w:type="dxa"/>
          </w:tcPr>
          <w:p w14:paraId="4A8B5383">
            <w:pPr>
              <w:spacing w:before="100" w:after="100" w:line="240" w:lineRule="auto"/>
              <w:ind w:firstLine="0"/>
              <w:jc w:val="center"/>
            </w:pPr>
            <w:r>
              <w:rPr>
                <w:rFonts w:ascii="Times New Roman" w:hAnsi="Times New Roman" w:eastAsia="Times New Roman" w:cs="Times New Roman"/>
                <w:color w:val="000000"/>
                <w:sz w:val="24"/>
              </w:rPr>
              <w:t>Yes</w:t>
            </w:r>
          </w:p>
        </w:tc>
      </w:tr>
      <w:tr w14:paraId="5BECC1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cantSplit/>
        </w:trPr>
        <w:tc>
          <w:tcPr>
            <w:tcW w:w="2045" w:type="dxa"/>
          </w:tcPr>
          <w:p w14:paraId="7C348A3C">
            <w:pPr>
              <w:spacing w:before="100" w:after="100" w:line="240" w:lineRule="auto"/>
              <w:ind w:firstLine="0"/>
              <w:jc w:val="left"/>
            </w:pPr>
            <w:r>
              <w:rPr>
                <w:rFonts w:ascii="Times New Roman" w:hAnsi="Times New Roman" w:eastAsia="Times New Roman" w:cs="Times New Roman"/>
                <w:color w:val="000000"/>
                <w:sz w:val="24"/>
              </w:rPr>
              <w:t>H3b</w:t>
            </w:r>
            <w:r>
              <w:rPr>
                <w:rFonts w:hint="eastAsia" w:eastAsia="宋体" w:cs="Times New Roman"/>
                <w:color w:val="000000"/>
                <w:sz w:val="24"/>
                <w:lang w:val="en-US" w:eastAsia="zh-CN"/>
              </w:rPr>
              <w:t xml:space="preserve">: </w:t>
            </w:r>
            <w:r>
              <w:rPr>
                <w:rFonts w:ascii="Times New Roman" w:hAnsi="Times New Roman" w:eastAsia="Times New Roman" w:cs="Times New Roman"/>
                <w:color w:val="000000"/>
                <w:sz w:val="24"/>
              </w:rPr>
              <w:t>More recognition in professional media</w:t>
            </w:r>
          </w:p>
        </w:tc>
        <w:tc>
          <w:tcPr>
            <w:tcW w:w="1786" w:type="dxa"/>
          </w:tcPr>
          <w:p w14:paraId="11ADE937">
            <w:pPr>
              <w:spacing w:before="100" w:after="100" w:line="240" w:lineRule="auto"/>
              <w:ind w:firstLine="0"/>
              <w:jc w:val="center"/>
            </w:pPr>
            <w:r>
              <w:rPr>
                <w:rFonts w:ascii="Times New Roman" w:hAnsi="Times New Roman" w:eastAsia="Times New Roman" w:cs="Times New Roman"/>
                <w:color w:val="000000"/>
                <w:sz w:val="24"/>
              </w:rPr>
              <w:t>Supported</w:t>
            </w:r>
          </w:p>
        </w:tc>
        <w:tc>
          <w:tcPr>
            <w:tcW w:w="4363" w:type="dxa"/>
          </w:tcPr>
          <w:p w14:paraId="7AF5B668">
            <w:pPr>
              <w:spacing w:before="100" w:after="100" w:line="240" w:lineRule="auto"/>
              <w:ind w:firstLine="0"/>
            </w:pPr>
            <w:r>
              <w:rPr>
                <w:rFonts w:ascii="Times New Roman" w:hAnsi="Times New Roman" w:eastAsia="Times New Roman" w:cs="Times New Roman"/>
                <w:color w:val="000000"/>
                <w:sz w:val="24"/>
              </w:rPr>
              <w:t>Website and newspaper ORs = 1.99 and 3.28. Both significant.</w:t>
            </w:r>
          </w:p>
        </w:tc>
        <w:tc>
          <w:tcPr>
            <w:tcW w:w="1166" w:type="dxa"/>
          </w:tcPr>
          <w:p w14:paraId="6DC8723B">
            <w:pPr>
              <w:spacing w:before="100" w:after="100" w:line="240" w:lineRule="auto"/>
              <w:ind w:firstLine="0"/>
              <w:jc w:val="center"/>
            </w:pPr>
            <w:r>
              <w:rPr>
                <w:rFonts w:ascii="Times New Roman" w:hAnsi="Times New Roman" w:eastAsia="Times New Roman" w:cs="Times New Roman"/>
                <w:color w:val="000000"/>
                <w:sz w:val="24"/>
              </w:rPr>
              <w:t>Yes</w:t>
            </w:r>
          </w:p>
        </w:tc>
      </w:tr>
    </w:tbl>
    <w:p w14:paraId="2F91FF43">
      <w:pPr>
        <w:spacing w:before="120" w:after="160" w:line="240" w:lineRule="auto"/>
        <w:ind w:firstLine="0"/>
        <w:rPr>
          <w:i/>
          <w:iCs/>
        </w:rPr>
      </w:pPr>
      <w:r>
        <w:rPr>
          <w:rFonts w:ascii="Times New Roman" w:hAnsi="Times New Roman" w:eastAsia="Times New Roman" w:cs="Times New Roman"/>
          <w:i/>
          <w:iCs/>
          <w:color w:val="000000"/>
          <w:sz w:val="24"/>
        </w:rPr>
        <w:t>Note. Agreement concerns hypothesis conclusions and does not imply that every numeric value is identical. Reference groups are consensus systems, stable secularism and blogs. Non-significance does not establish zero association.</w:t>
      </w:r>
    </w:p>
    <w:p w14:paraId="6C026C59">
      <w:r>
        <w:rPr>
          <w:rFonts w:ascii="Times New Roman" w:hAnsi="Times New Roman" w:eastAsia="Times New Roman" w:cs="Times New Roman"/>
          <w:color w:val="000000"/>
          <w:sz w:val="24"/>
        </w:rPr>
        <w:t>The principal numerical comparisons show substantial agreement. Of 45 coefficient, standard-error and odds-ratio entries, 44 matched published rounding. All 30 published reliability coefficients and five reliability sample sizes agreed, as did ten binary average marginal effects and their confidence intervals. These effects express average probability differences, whereas odds ratios compare odds. Professional media were associated with less outrage and more recognition, while institutional and secularism-related predictions received mixed support. Higher recognition under contested secularism also supports examining recognition separately from outrage.</w:t>
      </w:r>
    </w:p>
    <w:p w14:paraId="6696275B">
      <w:r>
        <w:rPr>
          <w:rFonts w:ascii="Times New Roman" w:hAnsi="Times New Roman" w:eastAsia="Times New Roman" w:cs="Times New Roman"/>
          <w:color w:val="000000"/>
          <w:sz w:val="24"/>
        </w:rPr>
        <w:t>Small numerical differences were concentrated in particular outputs. The mixed-system OR in M2 was 2.246459, rounding to 2.25 rather than 2.24. M2’s minus twice log likelihood was 1326.556979 rather than 1326.48, and its empty-model likelihood-ratio statistic was 154.763731 rather than 154.95. Numerical integration, optimization or historical software settings could contribute, but the original execution logs are unavailable.</w:t>
      </w:r>
    </w:p>
    <w:p w14:paraId="0E82F485">
      <w:r>
        <w:rPr>
          <w:rFonts w:ascii="Times New Roman" w:hAnsi="Times New Roman" w:eastAsia="Times New Roman" w:cs="Times New Roman"/>
          <w:color w:val="000000"/>
          <w:sz w:val="24"/>
        </w:rPr>
        <w:t>Seven supplementary ordinal marginal-effect or interval entries also fell narrowly outside their rounding ranges. Independent recalculation confirmed the Python values closely. Historical postestimation settings or table preparation remain possible explanations. Random-effects integration cannot explain these differences because M1 contains no such integration.</w:t>
      </w:r>
    </w:p>
    <w:p w14:paraId="0B231CC7">
      <w:r>
        <w:rPr>
          <w:rFonts w:ascii="Times New Roman" w:hAnsi="Times New Roman" w:eastAsia="Times New Roman" w:cs="Times New Roman"/>
          <w:color w:val="000000"/>
          <w:sz w:val="24"/>
        </w:rPr>
        <w:t>Other discrepancies show stronger evidence of reporting inconsistencies. An Australian news-website cell prints 11% moderate outrage, whereas the data yield 1%. The printed row consequently totals 110%. The article also calls .09 both McFadden and Nagelkerke pseudo-R-squared. Recalculation gives .089 and .131, respectively, supporting the McFadden label.</w:t>
      </w:r>
    </w:p>
    <w:p w14:paraId="5B7DB984">
      <w:r>
        <w:rPr>
          <w:rFonts w:ascii="Times New Roman" w:hAnsi="Times New Roman" w:eastAsia="Times New Roman" w:cs="Times New Roman"/>
          <w:color w:val="000000"/>
          <w:sz w:val="24"/>
        </w:rPr>
        <w:t>Diagnostic agreement requires separate judgment. The Wolfe–Gould statistic reproduced under the author’s diagnostic syntax. However, the generalized ordinal check generated negative category probabilities, preventing validation of its reported significance test. Matching its raw likelihood-ratio statistic therefore does not certify its inference, and the reported 14 degrees of freedom remain unconfirmed. Separately, all six country deletions preserved M1’s media-effect directions and significance, while contextual significance varied. The media findings were more stable within this sensitivity analysis.</w:t>
      </w:r>
    </w:p>
    <w:p w14:paraId="77B6326B">
      <w:pPr>
        <w:pStyle w:val="3"/>
      </w:pPr>
      <w:r>
        <w:rPr>
          <w:rFonts w:ascii="Times New Roman" w:hAnsi="Times New Roman" w:eastAsia="Times New Roman" w:cs="Times New Roman"/>
          <w:color w:val="000000"/>
          <w:sz w:val="24"/>
        </w:rPr>
        <w:t>Limitations</w:t>
      </w:r>
    </w:p>
    <w:p w14:paraId="4B7D0591">
      <w:r>
        <w:rPr>
          <w:rFonts w:ascii="Times New Roman" w:hAnsi="Times New Roman" w:eastAsia="Times New Roman" w:cs="Times New Roman"/>
          <w:color w:val="000000"/>
          <w:sz w:val="24"/>
        </w:rPr>
        <w:t>The broad agreement supports reproducibility of the main findings under the documented specification. The remaining numerical differences do not change the primary hypothesis conclusions. Historical execution logs would help identify their precise source. Independent binary-likelihood checks strengthen numerical verification, although M2 and M3 were not separately re-estimated in another engine. The unvalidated generalized ordinal test concerns one assumption diagnostic and should be considered separately from the successful reproduction of the primary estimates.</w:t>
      </w:r>
    </w:p>
    <w:p w14:paraId="630483EC">
      <w:r>
        <w:rPr>
          <w:rFonts w:ascii="Times New Roman" w:hAnsi="Times New Roman" w:eastAsia="Times New Roman" w:cs="Times New Roman"/>
          <w:color w:val="000000"/>
          <w:sz w:val="24"/>
        </w:rPr>
        <w:t>Substantive interpretation remains bounded by the original comparative design. Each political-system-by-division category contains one country, so contextual estimates may also reflect other national differences. The selected religion debates and 2015</w:t>
      </w:r>
      <w:r>
        <w:rPr>
          <w:rFonts w:hint="eastAsia" w:eastAsia="宋体" w:cs="Times New Roman"/>
          <w:color w:val="000000"/>
          <w:sz w:val="24"/>
          <w:lang w:val="en-US" w:eastAsia="zh-CN"/>
        </w:rPr>
        <w:t>-</w:t>
      </w:r>
      <w:r>
        <w:rPr>
          <w:rFonts w:ascii="Times New Roman" w:hAnsi="Times New Roman" w:eastAsia="Times New Roman" w:cs="Times New Roman"/>
          <w:color w:val="000000"/>
          <w:sz w:val="24"/>
        </w:rPr>
        <w:t>2016 period define the study’s scope. These boundaries qualify generalization while preserving the value of recovering the article’s principal associations.</w:t>
      </w:r>
    </w:p>
    <w:p w14:paraId="7F5B10D5">
      <w:pPr>
        <w:pStyle w:val="3"/>
      </w:pPr>
      <w:r>
        <w:rPr>
          <w:rFonts w:ascii="Times New Roman" w:hAnsi="Times New Roman" w:eastAsia="Times New Roman" w:cs="Times New Roman"/>
          <w:color w:val="000000"/>
          <w:sz w:val="24"/>
        </w:rPr>
        <w:t>Feasible Next Research Steps</w:t>
      </w:r>
    </w:p>
    <w:p w14:paraId="3964F1E6">
      <w:r>
        <w:rPr>
          <w:rFonts w:ascii="Times New Roman" w:hAnsi="Times New Roman" w:eastAsia="Times New Roman" w:cs="Times New Roman"/>
          <w:color w:val="000000"/>
          <w:sz w:val="24"/>
        </w:rPr>
        <w:t>A practical extension would use the existing item data to reassess the media association after replacing broad national-context predictors with country indicators. This separately labelled sensitivity model would compare media while accounting for stable differences among the six countries. It would retain ordinal tone and report predicted probabilities and uncertainty alongside the original estimates. It could clarify whether the media pattern persists under a different treatment of national context, although it would not establish causation or estimate independent political-system effects.</w:t>
      </w:r>
    </w:p>
    <w:p w14:paraId="21B0A715">
      <w:r>
        <w:rPr>
          <w:rFonts w:ascii="Times New Roman" w:hAnsi="Times New Roman" w:eastAsia="Times New Roman" w:cs="Times New Roman"/>
          <w:color w:val="000000"/>
          <w:sz w:val="24"/>
        </w:rPr>
        <w:t>A focused request for the original M2 estimation and prediction logs could clarify the remaining numerical settings and postestimation procedures. If those records remain unavailable, the small discrepancies can remain documented without changing the main substantive conclusions. Both steps build on existing data and source documentation.</w:t>
      </w:r>
    </w:p>
    <w:p w14:paraId="4AA8F1F3">
      <w:r>
        <w:rPr>
          <w:rFonts w:ascii="Times New Roman" w:hAnsi="Times New Roman" w:eastAsia="Times New Roman" w:cs="Times New Roman"/>
          <w:color w:val="000000"/>
          <w:sz w:val="24"/>
        </w:rPr>
        <w:br w:type="page"/>
      </w:r>
    </w:p>
    <w:p w14:paraId="1FA42D40">
      <w:pPr>
        <w:pStyle w:val="3"/>
      </w:pPr>
      <w:r>
        <w:rPr>
          <w:rFonts w:ascii="Times New Roman" w:hAnsi="Times New Roman" w:eastAsia="Times New Roman" w:cs="Times New Roman"/>
          <w:color w:val="000000"/>
          <w:sz w:val="24"/>
        </w:rPr>
        <w:t>References</w:t>
      </w:r>
    </w:p>
    <w:p w14:paraId="325F3D0D">
      <w:pPr>
        <w:ind w:left="720" w:hanging="720"/>
      </w:pPr>
      <w:r>
        <w:rPr>
          <w:rFonts w:ascii="Times New Roman" w:hAnsi="Times New Roman" w:eastAsia="Times New Roman" w:cs="Times New Roman"/>
          <w:color w:val="000000"/>
          <w:sz w:val="24"/>
        </w:rPr>
        <w:t xml:space="preserve">Löb, C., Rinke, E. M., Weinmann, C., &amp; Wessler, H. (2024). Unpacking the determinants of outrage and recognition in public discourse: Insights across socio-cultural divides, political systems, and media types. </w:t>
      </w:r>
      <w:r>
        <w:rPr>
          <w:rFonts w:ascii="Times New Roman" w:hAnsi="Times New Roman" w:eastAsia="Times New Roman" w:cs="Times New Roman"/>
          <w:i/>
          <w:color w:val="000000"/>
          <w:sz w:val="24"/>
        </w:rPr>
        <w:t>The International Journal of Press/Politics, 29</w:t>
      </w:r>
      <w:r>
        <w:rPr>
          <w:rFonts w:ascii="Times New Roman" w:hAnsi="Times New Roman" w:eastAsia="Times New Roman" w:cs="Times New Roman"/>
          <w:color w:val="000000"/>
          <w:sz w:val="24"/>
        </w:rPr>
        <w:t>(1), 273</w:t>
      </w:r>
      <w:r>
        <w:rPr>
          <w:rFonts w:hint="eastAsia" w:eastAsia="宋体" w:cs="Times New Roman"/>
          <w:color w:val="000000"/>
          <w:sz w:val="24"/>
          <w:lang w:val="en-US" w:eastAsia="zh-CN"/>
        </w:rPr>
        <w:t>-</w:t>
      </w:r>
      <w:r>
        <w:rPr>
          <w:rFonts w:ascii="Times New Roman" w:hAnsi="Times New Roman" w:eastAsia="Times New Roman" w:cs="Times New Roman"/>
          <w:color w:val="000000"/>
          <w:sz w:val="24"/>
        </w:rPr>
        <w:t>294. https://doi.org/10.1177/19401612221084206</w:t>
      </w:r>
    </w:p>
    <w:p w14:paraId="5565C53B">
      <w:pPr>
        <w:ind w:left="720" w:hanging="720"/>
      </w:pPr>
      <w:r>
        <w:rPr>
          <w:rFonts w:ascii="Times New Roman" w:hAnsi="Times New Roman" w:eastAsia="Times New Roman" w:cs="Times New Roman"/>
          <w:color w:val="000000"/>
          <w:sz w:val="24"/>
        </w:rPr>
        <w:t xml:space="preserve">StataCorp. (2019). </w:t>
      </w:r>
      <w:r>
        <w:rPr>
          <w:rFonts w:hint="eastAsia" w:eastAsia="宋体" w:cs="Times New Roman"/>
          <w:i/>
          <w:iCs/>
          <w:color w:val="000000"/>
          <w:sz w:val="24"/>
          <w:lang w:val="en-US" w:eastAsia="zh-CN"/>
        </w:rPr>
        <w:t>M</w:t>
      </w:r>
      <w:r>
        <w:rPr>
          <w:rFonts w:ascii="Times New Roman" w:hAnsi="Times New Roman" w:eastAsia="Times New Roman" w:cs="Times New Roman"/>
          <w:i/>
          <w:color w:val="000000"/>
          <w:sz w:val="24"/>
        </w:rPr>
        <w:t>elogit</w:t>
      </w:r>
      <w:r>
        <w:rPr>
          <w:rFonts w:hint="eastAsia" w:eastAsia="宋体" w:cs="Times New Roman"/>
          <w:i/>
          <w:color w:val="000000"/>
          <w:sz w:val="24"/>
          <w:lang w:val="en-US" w:eastAsia="zh-CN"/>
        </w:rPr>
        <w:t>-</w:t>
      </w:r>
      <w:r>
        <w:rPr>
          <w:rFonts w:ascii="Times New Roman" w:hAnsi="Times New Roman" w:eastAsia="Times New Roman" w:cs="Times New Roman"/>
          <w:i/>
          <w:color w:val="000000"/>
          <w:sz w:val="24"/>
        </w:rPr>
        <w:t>Multilevel mixed-effects logistic regression.</w:t>
      </w:r>
      <w:r>
        <w:rPr>
          <w:rFonts w:ascii="Times New Roman" w:hAnsi="Times New Roman" w:eastAsia="Times New Roman" w:cs="Times New Roman"/>
          <w:color w:val="000000"/>
          <w:sz w:val="24"/>
        </w:rPr>
        <w:t xml:space="preserve"> https://www.stata.com/manuals16/memelogit.pdf</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Anonymous"/>
    <w:panose1 w:val="00000000000000000000"/>
    <w:charset w:val="00"/>
    <w:family w:val="auto"/>
    <w:pitch w:val="default"/>
    <w:sig w:usb0="00000000" w:usb1="00000000" w:usb2="00000000" w:usb3="00000000" w:csb0="00000000" w:csb1="00000000"/>
  </w:font>
  <w:font w:name="Anonymous">
    <w:panose1 w:val="02000409000000000000"/>
    <w:charset w:val="00"/>
    <w:family w:val="auto"/>
    <w:pitch w:val="default"/>
    <w:sig w:usb0="80000007" w:usb1="00000000" w:usb2="00000000" w:usb3="00000000" w:csb0="20000111" w:csb1="40000000"/>
  </w:font>
  <w:font w:name="ＭＳ 明朝">
    <w:altName w:val="HanaMin"/>
    <w:panose1 w:val="00000000000000000000"/>
    <w:charset w:val="80"/>
    <w:family w:val="roman"/>
    <w:pitch w:val="default"/>
    <w:sig w:usb0="00000000" w:usb1="00000000" w:usb2="00000010" w:usb3="00000000" w:csb0="00020000" w:csb1="00000000"/>
  </w:font>
  <w:font w:name="HanaMin">
    <w:panose1 w:val="02000609000000000000"/>
    <w:charset w:val="80"/>
    <w:family w:val="auto"/>
    <w:pitch w:val="default"/>
    <w:sig w:usb0="00000001" w:usb1="08000000" w:usb2="00000000" w:usb3="00000000" w:csb0="0002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90FD1">
    <w:pPr>
      <w:pStyle w:val="25"/>
      <w:ind w:firstLine="0"/>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BE25B6"/>
    <w:rsid w:val="16F05D79"/>
    <w:rsid w:val="27242217"/>
    <w:rsid w:val="2BB56B29"/>
    <w:rsid w:val="308D43B3"/>
    <w:rsid w:val="49A6688C"/>
    <w:rsid w:val="4D1B20F7"/>
    <w:rsid w:val="4D222B10"/>
    <w:rsid w:val="508A03D6"/>
    <w:rsid w:val="5217598C"/>
    <w:rsid w:val="6A370A4F"/>
    <w:rsid w:val="75FA58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80" w:lineRule="auto"/>
      <w:ind w:firstLine="720"/>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0"/>
    <w:qFormat/>
    <w:uiPriority w:val="9"/>
    <w:pPr>
      <w:keepNext/>
      <w:keepLines/>
      <w:spacing w:before="0" w:after="0" w:line="480" w:lineRule="auto"/>
      <w:ind w:firstLine="0"/>
      <w:jc w:val="center"/>
      <w:outlineLvl w:val="0"/>
    </w:pPr>
    <w:rPr>
      <w:rFonts w:asciiTheme="majorHAnsi" w:hAnsiTheme="majorHAnsi" w:eastAsiaTheme="majorEastAsia" w:cstheme="majorBidi"/>
      <w:b/>
      <w:bCs/>
      <w:color w:val="000000"/>
      <w:sz w:val="24"/>
      <w:szCs w:val="28"/>
    </w:rPr>
  </w:style>
  <w:style w:type="paragraph" w:styleId="4">
    <w:name w:val="heading 2"/>
    <w:basedOn w:val="1"/>
    <w:next w:val="1"/>
    <w:link w:val="141"/>
    <w:unhideWhenUsed/>
    <w:qFormat/>
    <w:uiPriority w:val="9"/>
    <w:pPr>
      <w:keepNext/>
      <w:keepLines/>
      <w:spacing w:before="0" w:after="0" w:line="480" w:lineRule="auto"/>
      <w:ind w:firstLine="0"/>
      <w:jc w:val="center"/>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000000"/>
      <w:sz w:val="24"/>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000000"/>
      <w:sz w:val="24"/>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000000"/>
      <w:sz w:val="24"/>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000000"/>
      <w:sz w:val="24"/>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000000"/>
      <w:sz w:val="24"/>
      <w:szCs w:val="20"/>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000000"/>
      <w:sz w:val="24"/>
      <w:szCs w:val="20"/>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color w:val="000000"/>
      <w:sz w:val="24"/>
      <w:szCs w:val="20"/>
      <w:lang w:val="en-US" w:eastAsia="en-US" w:bidi="ar-SA"/>
    </w:rPr>
  </w:style>
  <w:style w:type="paragraph" w:styleId="12">
    <w:name w:val="List 3"/>
    <w:basedOn w:val="1"/>
    <w:unhideWhenUsed/>
    <w:qFormat/>
    <w:uiPriority w:val="99"/>
    <w:pPr>
      <w:ind w:left="1080" w:hanging="360"/>
      <w:contextualSpacing/>
    </w:pPr>
    <w:rPr>
      <w:rFonts w:ascii="Times New Roman" w:hAnsi="Times New Roman"/>
      <w:color w:val="000000"/>
      <w:sz w:val="24"/>
    </w:rPr>
  </w:style>
  <w:style w:type="paragraph" w:styleId="13">
    <w:name w:val="List Number 2"/>
    <w:basedOn w:val="1"/>
    <w:unhideWhenUsed/>
    <w:qFormat/>
    <w:uiPriority w:val="99"/>
    <w:pPr>
      <w:numPr>
        <w:ilvl w:val="0"/>
        <w:numId w:val="1"/>
      </w:numPr>
      <w:contextualSpacing/>
    </w:pPr>
    <w:rPr>
      <w:rFonts w:ascii="Times New Roman" w:hAnsi="Times New Roman"/>
      <w:color w:val="000000"/>
      <w:sz w:val="24"/>
    </w:rPr>
  </w:style>
  <w:style w:type="paragraph" w:styleId="14">
    <w:name w:val="List Number"/>
    <w:basedOn w:val="1"/>
    <w:unhideWhenUsed/>
    <w:qFormat/>
    <w:uiPriority w:val="99"/>
    <w:pPr>
      <w:numPr>
        <w:ilvl w:val="0"/>
        <w:numId w:val="2"/>
      </w:numPr>
      <w:contextualSpacing/>
    </w:pPr>
    <w:rPr>
      <w:rFonts w:ascii="Times New Roman" w:hAnsi="Times New Roman"/>
      <w:color w:val="000000"/>
      <w:sz w:val="24"/>
    </w:rPr>
  </w:style>
  <w:style w:type="paragraph" w:styleId="15">
    <w:name w:val="caption"/>
    <w:basedOn w:val="1"/>
    <w:next w:val="1"/>
    <w:semiHidden/>
    <w:unhideWhenUsed/>
    <w:qFormat/>
    <w:uiPriority w:val="35"/>
    <w:pPr>
      <w:spacing w:line="240" w:lineRule="auto"/>
    </w:pPr>
    <w:rPr>
      <w:rFonts w:ascii="Times New Roman" w:hAnsi="Times New Roman"/>
      <w:b/>
      <w:bCs/>
      <w:color w:val="000000"/>
      <w:sz w:val="24"/>
      <w:szCs w:val="18"/>
    </w:rPr>
  </w:style>
  <w:style w:type="paragraph" w:styleId="16">
    <w:name w:val="List Bullet"/>
    <w:basedOn w:val="1"/>
    <w:unhideWhenUsed/>
    <w:qFormat/>
    <w:uiPriority w:val="99"/>
    <w:pPr>
      <w:numPr>
        <w:ilvl w:val="0"/>
        <w:numId w:val="3"/>
      </w:numPr>
      <w:contextualSpacing/>
    </w:pPr>
    <w:rPr>
      <w:rFonts w:ascii="Times New Roman" w:hAnsi="Times New Roman"/>
      <w:color w:val="000000"/>
      <w:sz w:val="24"/>
    </w:rPr>
  </w:style>
  <w:style w:type="paragraph" w:styleId="17">
    <w:name w:val="Body Text 3"/>
    <w:basedOn w:val="1"/>
    <w:link w:val="148"/>
    <w:unhideWhenUsed/>
    <w:qFormat/>
    <w:uiPriority w:val="99"/>
    <w:pPr>
      <w:spacing w:after="120"/>
    </w:pPr>
    <w:rPr>
      <w:rFonts w:ascii="Times New Roman" w:hAnsi="Times New Roman"/>
      <w:color w:val="000000"/>
      <w:sz w:val="24"/>
      <w:szCs w:val="16"/>
    </w:rPr>
  </w:style>
  <w:style w:type="paragraph" w:styleId="18">
    <w:name w:val="List Bullet 3"/>
    <w:basedOn w:val="1"/>
    <w:unhideWhenUsed/>
    <w:qFormat/>
    <w:uiPriority w:val="99"/>
    <w:pPr>
      <w:numPr>
        <w:ilvl w:val="0"/>
        <w:numId w:val="4"/>
      </w:numPr>
      <w:contextualSpacing/>
    </w:pPr>
    <w:rPr>
      <w:rFonts w:ascii="Times New Roman" w:hAnsi="Times New Roman"/>
      <w:color w:val="000000"/>
      <w:sz w:val="24"/>
    </w:rPr>
  </w:style>
  <w:style w:type="paragraph" w:styleId="19">
    <w:name w:val="Body Text"/>
    <w:basedOn w:val="1"/>
    <w:link w:val="146"/>
    <w:unhideWhenUsed/>
    <w:qFormat/>
    <w:uiPriority w:val="99"/>
    <w:pPr>
      <w:spacing w:after="120"/>
    </w:pPr>
    <w:rPr>
      <w:rFonts w:ascii="Times New Roman" w:hAnsi="Times New Roman"/>
      <w:color w:val="000000"/>
      <w:sz w:val="24"/>
    </w:rPr>
  </w:style>
  <w:style w:type="paragraph" w:styleId="20">
    <w:name w:val="List Number 3"/>
    <w:basedOn w:val="1"/>
    <w:unhideWhenUsed/>
    <w:qFormat/>
    <w:uiPriority w:val="99"/>
    <w:pPr>
      <w:numPr>
        <w:ilvl w:val="0"/>
        <w:numId w:val="5"/>
      </w:numPr>
      <w:contextualSpacing/>
    </w:pPr>
    <w:rPr>
      <w:rFonts w:ascii="Times New Roman" w:hAnsi="Times New Roman"/>
      <w:color w:val="000000"/>
      <w:sz w:val="24"/>
    </w:rPr>
  </w:style>
  <w:style w:type="paragraph" w:styleId="21">
    <w:name w:val="List 2"/>
    <w:basedOn w:val="1"/>
    <w:unhideWhenUsed/>
    <w:qFormat/>
    <w:uiPriority w:val="99"/>
    <w:pPr>
      <w:ind w:left="720" w:hanging="360"/>
      <w:contextualSpacing/>
    </w:pPr>
    <w:rPr>
      <w:rFonts w:ascii="Times New Roman" w:hAnsi="Times New Roman"/>
      <w:color w:val="000000"/>
      <w:sz w:val="24"/>
    </w:rPr>
  </w:style>
  <w:style w:type="paragraph" w:styleId="22">
    <w:name w:val="List Continue"/>
    <w:basedOn w:val="1"/>
    <w:unhideWhenUsed/>
    <w:qFormat/>
    <w:uiPriority w:val="99"/>
    <w:pPr>
      <w:spacing w:after="120"/>
      <w:ind w:left="360"/>
      <w:contextualSpacing/>
    </w:pPr>
    <w:rPr>
      <w:rFonts w:ascii="Times New Roman" w:hAnsi="Times New Roman"/>
      <w:color w:val="000000"/>
      <w:sz w:val="24"/>
    </w:rPr>
  </w:style>
  <w:style w:type="paragraph" w:styleId="23">
    <w:name w:val="List Bullet 2"/>
    <w:basedOn w:val="1"/>
    <w:unhideWhenUsed/>
    <w:qFormat/>
    <w:uiPriority w:val="99"/>
    <w:pPr>
      <w:numPr>
        <w:ilvl w:val="0"/>
        <w:numId w:val="6"/>
      </w:numPr>
      <w:contextualSpacing/>
    </w:pPr>
    <w:rPr>
      <w:rFonts w:ascii="Times New Roman" w:hAnsi="Times New Roman"/>
      <w:color w:val="000000"/>
      <w:sz w:val="24"/>
    </w:rPr>
  </w:style>
  <w:style w:type="paragraph" w:styleId="24">
    <w:name w:val="footer"/>
    <w:basedOn w:val="1"/>
    <w:link w:val="138"/>
    <w:unhideWhenUsed/>
    <w:qFormat/>
    <w:uiPriority w:val="99"/>
    <w:pPr>
      <w:tabs>
        <w:tab w:val="center" w:pos="4680"/>
        <w:tab w:val="right" w:pos="9360"/>
      </w:tabs>
      <w:spacing w:after="0" w:line="240" w:lineRule="auto"/>
    </w:pPr>
    <w:rPr>
      <w:rFonts w:ascii="Times New Roman" w:hAnsi="Times New Roman"/>
      <w:color w:val="000000"/>
      <w:sz w:val="24"/>
    </w:rPr>
  </w:style>
  <w:style w:type="paragraph" w:styleId="25">
    <w:name w:val="header"/>
    <w:basedOn w:val="1"/>
    <w:link w:val="137"/>
    <w:unhideWhenUsed/>
    <w:uiPriority w:val="99"/>
    <w:pPr>
      <w:tabs>
        <w:tab w:val="center" w:pos="4680"/>
        <w:tab w:val="right" w:pos="9360"/>
      </w:tabs>
      <w:spacing w:after="0" w:line="240" w:lineRule="auto"/>
    </w:pPr>
    <w:rPr>
      <w:rFonts w:ascii="Times New Roman" w:hAnsi="Times New Roman"/>
      <w:color w:val="000000"/>
      <w:sz w:val="24"/>
    </w:rPr>
  </w:style>
  <w:style w:type="paragraph" w:styleId="26">
    <w:name w:val="Subtitle"/>
    <w:basedOn w:val="1"/>
    <w:next w:val="1"/>
    <w:link w:val="144"/>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qFormat/>
    <w:uiPriority w:val="99"/>
    <w:pPr>
      <w:ind w:left="360" w:hanging="360"/>
      <w:contextualSpacing/>
    </w:pPr>
    <w:rPr>
      <w:rFonts w:ascii="Times New Roman" w:hAnsi="Times New Roman"/>
      <w:color w:val="000000"/>
      <w:sz w:val="24"/>
    </w:rPr>
  </w:style>
  <w:style w:type="paragraph" w:styleId="28">
    <w:name w:val="Body Text 2"/>
    <w:basedOn w:val="1"/>
    <w:link w:val="147"/>
    <w:unhideWhenUsed/>
    <w:qFormat/>
    <w:uiPriority w:val="99"/>
    <w:pPr>
      <w:spacing w:after="120" w:line="480" w:lineRule="auto"/>
    </w:pPr>
    <w:rPr>
      <w:rFonts w:ascii="Times New Roman" w:hAnsi="Times New Roman"/>
      <w:color w:val="000000"/>
      <w:sz w:val="24"/>
    </w:rPr>
  </w:style>
  <w:style w:type="paragraph" w:styleId="29">
    <w:name w:val="List Continue 2"/>
    <w:basedOn w:val="1"/>
    <w:unhideWhenUsed/>
    <w:qFormat/>
    <w:uiPriority w:val="99"/>
    <w:pPr>
      <w:spacing w:after="120"/>
      <w:ind w:left="720"/>
      <w:contextualSpacing/>
    </w:pPr>
    <w:rPr>
      <w:rFonts w:ascii="Times New Roman" w:hAnsi="Times New Roman"/>
      <w:color w:val="000000"/>
      <w:sz w:val="24"/>
    </w:rPr>
  </w:style>
  <w:style w:type="paragraph" w:styleId="30">
    <w:name w:val="List Continue 3"/>
    <w:basedOn w:val="1"/>
    <w:unhideWhenUsed/>
    <w:qFormat/>
    <w:uiPriority w:val="99"/>
    <w:pPr>
      <w:spacing w:after="120"/>
      <w:ind w:left="1080"/>
      <w:contextualSpacing/>
    </w:pPr>
    <w:rPr>
      <w:rFonts w:ascii="Times New Roman" w:hAnsi="Times New Roman"/>
      <w:color w:val="000000"/>
      <w:sz w:val="24"/>
    </w:rPr>
  </w:style>
  <w:style w:type="paragraph" w:styleId="31">
    <w:name w:val="Title"/>
    <w:basedOn w:val="1"/>
    <w:next w:val="1"/>
    <w:link w:val="143"/>
    <w:qFormat/>
    <w:uiPriority w:val="10"/>
    <w:pPr>
      <w:keepNext/>
      <w:spacing w:before="0" w:after="0" w:line="480" w:lineRule="auto"/>
      <w:ind w:firstLine="0"/>
      <w:contextualSpacing/>
      <w:jc w:val="center"/>
    </w:pPr>
    <w:rPr>
      <w:rFonts w:asciiTheme="majorHAnsi" w:hAnsiTheme="majorHAnsi" w:eastAsiaTheme="majorEastAsia" w:cstheme="majorBidi"/>
      <w:b/>
      <w:color w:val="000000"/>
      <w:spacing w:val="5"/>
      <w:kern w:val="28"/>
      <w:sz w:val="2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imes New Roman" w:hAnsi="Times New Roman" w:eastAsiaTheme="minorEastAsia" w:cstheme="minorBidi"/>
      <w:color w:val="000000"/>
      <w:sz w:val="24"/>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rPr>
      <w:rFonts w:ascii="Times New Roman" w:hAnsi="Times New Roman"/>
      <w:color w:val="000000"/>
      <w:sz w:val="24"/>
    </w:r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rFonts w:ascii="Times New Roman" w:hAnsi="Times New Roman"/>
      <w:i/>
      <w:iCs/>
      <w:color w:val="000000"/>
      <w:sz w:val="24"/>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rFonts w:ascii="Times New Roman" w:hAnsi="Times New Roman"/>
      <w:b/>
      <w:bCs/>
      <w:i/>
      <w:iCs/>
      <w:color w:val="000000"/>
      <w:sz w:val="24"/>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rPr>
      <w:rFonts w:ascii="Times New Roman" w:hAnsi="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1383</Words>
  <Characters>9618</Characters>
  <Lines>0</Lines>
  <Paragraphs>0</Paragraphs>
  <TotalTime>70</TotalTime>
  <ScaleCrop>false</ScaleCrop>
  <LinksUpToDate>false</LinksUpToDate>
  <CharactersWithSpaces>10938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 Jiayi</dc:creator>
  <cp:lastModifiedBy>马嘉仪</cp:lastModifiedBy>
  <dcterms:modified xsi:type="dcterms:W3CDTF">2026-10-20T15:09:37Z</dcterms:modified>
  <dc:subject>COMD7290 individual report</dc:subject>
  <dc:title>Reproducing outrage and recognition in mediated public discourse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eyJoZGlkIjoiNTk5NTZjYzg3ZmRlODBkYmE4MDJhNzRkMThhZDg5Y2UiLCJ1c2VySWQiOiIxNjY0MjQ4NTQ0In0=</vt:lpwstr>
  </property>
  <property fmtid="{D5CDD505-2E9C-101B-9397-08002B2CF9AE}" pid="3" name="KSOProductBuildVer">
    <vt:lpwstr>2052-12.1.0.28043</vt:lpwstr>
  </property>
  <property fmtid="{D5CDD505-2E9C-101B-9397-08002B2CF9AE}" pid="4" name="ICV">
    <vt:lpwstr>7D10F3FC45A4467DAEC92E201F1F4AD7_12</vt:lpwstr>
  </property>
</Properties>
</file>