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0" w:line="300" w:lineRule="auto"/>
        <w:jc w:val="center"/>
      </w:pPr>
      <w:r>
        <w:rPr>
          <w:rFonts w:ascii="Calibri" w:hAnsi="Calibri" w:eastAsia="Microsoft YaHei"/>
          <w:b/>
          <w:color w:val="2F6FED"/>
          <w:sz w:val="24"/>
        </w:rPr>
        <w:t>XJD FINANCE</w:t>
      </w:r>
    </w:p>
    <w:p>
      <w:pPr>
        <w:keepNext w:val="0"/>
        <w:spacing w:before="0" w:after="160" w:line="300" w:lineRule="auto"/>
        <w:jc w:val="center"/>
      </w:pPr>
      <w:r>
        <w:rPr>
          <w:rFonts w:ascii="Calibri" w:hAnsi="Calibri" w:eastAsia="Microsoft YaHei"/>
          <w:b/>
          <w:color w:val="17264A"/>
          <w:sz w:val="60"/>
        </w:rPr>
        <w:t>系统精简使用说明书</w:t>
      </w:r>
    </w:p>
    <w:p>
      <w:pPr>
        <w:keepNext w:val="0"/>
        <w:spacing w:before="0" w:after="400" w:line="300" w:lineRule="auto"/>
        <w:jc w:val="center"/>
      </w:pPr>
      <w:r>
        <w:rPr>
          <w:rFonts w:ascii="Calibri" w:hAnsi="Calibri" w:eastAsia="Microsoft YaHei"/>
          <w:b w:val="0"/>
          <w:color w:val="67758D"/>
          <w:sz w:val="26"/>
        </w:rPr>
        <w:t>登录 · Excel 导入 · 提成绩效 · 电子签名 · 收付款 · 锁账</w:t>
      </w:r>
    </w:p>
    <w:p>
      <w:pPr>
        <w:keepNext w:val="0"/>
        <w:spacing w:before="0" w:after="520" w:line="300" w:lineRule="auto"/>
        <w:jc w:val="center"/>
      </w:pPr>
      <w:r>
        <w:rPr>
          <w:rFonts w:ascii="Calibri" w:hAnsi="Calibri" w:eastAsia="Microsoft YaHei"/>
          <w:b w:val="0"/>
          <w:color w:val="67758D"/>
          <w:sz w:val="20"/>
        </w:rPr>
        <w:t>版本 1.1  |  2026-07-20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B"/>
            <w:tcBorders>
              <w:start w:val="single" w:sz="20" w:color="2F6FED"/>
            </w:tcBorders>
          </w:tcPr>
          <w:p>
            <w:pPr>
              <w:keepNext w:val="0"/>
              <w:spacing w:before="0" w:after="60" w:line="300" w:lineRule="auto"/>
            </w:pPr>
            <w:r>
              <w:rPr>
                <w:rFonts w:ascii="Calibri" w:hAnsi="Calibri" w:eastAsia="Microsoft YaHei"/>
                <w:b/>
                <w:color w:val="2F6FED"/>
                <w:sz w:val="22"/>
              </w:rPr>
              <w:t>正式入口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Microsoft YaHei"/>
                <w:color w:val="13213C"/>
                <w:sz w:val="21"/>
              </w:rPr>
              <w:t>https://jiayinz906-lang.github.io/cross-border-finance-mvp/#/dashboard</w:t>
              <w:br/>
              <w:t>本地前端：http://localhost:5173/   本地 API：http://localhost:4000/api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Microsoft YaHei"/>
          <w:b w:val="0"/>
          <w:color w:val="13213C"/>
          <w:sz w:val="2"/>
        </w:rPr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F6FED"/>
          <w:sz w:val="32"/>
        </w:rPr>
        <w:t>1. 初始账号与密码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1700"/>
        <w:gridCol w:w="2100"/>
        <w:gridCol w:w="3760"/>
      </w:tblGrid>
      <w:tr>
        <w:trPr>
          <w:cantSplit/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264A"/>
                <w:sz w:val="19"/>
              </w:rPr>
              <w:t>用途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264A"/>
                <w:sz w:val="19"/>
              </w:rPr>
              <w:t>账号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264A"/>
                <w:sz w:val="19"/>
              </w:rPr>
              <w:t>初始密码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264A"/>
                <w:sz w:val="19"/>
              </w:rPr>
              <w:t>主要权限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系统管理员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admin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admin123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账号、规则、导入、确认、锁账</w:t>
            </w:r>
          </w:p>
        </w:tc>
      </w:tr>
      <w:tr>
        <w:trPr>
          <w:cantSplit/>
        </w:trPr>
        <w:tc>
          <w:tcPr>
            <w:tcW w:type="dxa" w:w="18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财务</w:t>
            </w:r>
          </w:p>
        </w:tc>
        <w:tc>
          <w:tcPr>
            <w:tcW w:type="dxa" w:w="17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finance</w:t>
            </w:r>
          </w:p>
        </w:tc>
        <w:tc>
          <w:tcPr>
            <w:tcW w:type="dxa" w:w="21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finance123</w:t>
            </w:r>
          </w:p>
        </w:tc>
        <w:tc>
          <w:tcPr>
            <w:tcW w:type="dxa" w:w="376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导入、风险、应收应付、报表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主管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supervisor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supervisor123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提成确认、签名确认、锁账</w:t>
            </w:r>
          </w:p>
        </w:tc>
      </w:tr>
      <w:tr>
        <w:trPr>
          <w:cantSplit/>
        </w:trPr>
        <w:tc>
          <w:tcPr>
            <w:tcW w:type="dxa" w:w="18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老板/管理层</w:t>
            </w:r>
          </w:p>
        </w:tc>
        <w:tc>
          <w:tcPr>
            <w:tcW w:type="dxa" w:w="17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boss</w:t>
            </w:r>
          </w:p>
        </w:tc>
        <w:tc>
          <w:tcPr>
            <w:tcW w:type="dxa" w:w="21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boss123</w:t>
            </w:r>
          </w:p>
        </w:tc>
        <w:tc>
          <w:tcPr>
            <w:tcW w:type="dxa" w:w="376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经营数据与报表只读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销售/客服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sales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sales123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查看个人业务及确认单</w:t>
            </w:r>
          </w:p>
        </w:tc>
      </w:tr>
    </w:tbl>
    <w:p>
      <w:pPr>
        <w:keepNext w:val="0"/>
        <w:spacing w:before="0" w:after="80" w:line="300" w:lineRule="auto"/>
      </w:pPr>
      <w:r>
        <w:rPr>
          <w:rFonts w:ascii="Calibri" w:hAnsi="Calibri" w:eastAsia="Microsoft YaHei"/>
          <w:b w:val="0"/>
          <w:color w:val="13213C"/>
          <w:sz w:val="2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E6"/>
            <w:tcBorders>
              <w:start w:val="single" w:sz="20" w:color="F08A24"/>
            </w:tcBorders>
          </w:tcPr>
          <w:p>
            <w:pPr>
              <w:keepNext w:val="0"/>
              <w:spacing w:before="0" w:after="60" w:line="300" w:lineRule="auto"/>
            </w:pPr>
            <w:r>
              <w:rPr>
                <w:rFonts w:ascii="Calibri" w:hAnsi="Calibri" w:eastAsia="Microsoft YaHei"/>
                <w:b/>
                <w:color w:val="F08A24"/>
                <w:sz w:val="22"/>
              </w:rPr>
              <w:t>账号安全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Microsoft YaHei"/>
                <w:color w:val="13213C"/>
                <w:sz w:val="21"/>
              </w:rPr>
              <w:t>以上是系统初始化账号，已在当前本地数据库验证可登录。线上账号如已修改密码，应使用修改后的密码。正式使用时请立即改密，不要多人共用管理员账号；本说明书仅限公司内部保存。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Microsoft YaHei"/>
          <w:b w:val="0"/>
          <w:color w:val="13213C"/>
          <w:sz w:val="2"/>
        </w:rPr>
      </w:r>
    </w:p>
    <w:p>
      <w:pPr>
        <w:keepNext/>
        <w:spacing w:before="40" w:after="60" w:line="300" w:lineRule="auto"/>
      </w:pPr>
      <w:r>
        <w:rPr>
          <w:rFonts w:ascii="Calibri" w:hAnsi="Calibri" w:eastAsia="Microsoft YaHei"/>
          <w:b/>
          <w:color w:val="17264A"/>
          <w:sz w:val="23"/>
        </w:rPr>
        <w:t>步骤 1  登录</w:t>
      </w:r>
    </w:p>
    <w:p>
      <w:pPr>
        <w:keepNext w:val="0"/>
        <w:spacing w:before="0" w:after="140" w:line="300" w:lineRule="auto"/>
        <w:ind w:left="259"/>
      </w:pPr>
      <w:r>
        <w:rPr>
          <w:rFonts w:ascii="Calibri" w:hAnsi="Calibri" w:eastAsia="Microsoft YaHei"/>
          <w:color w:val="13213C"/>
          <w:sz w:val="21"/>
        </w:rPr>
        <w:t>打开正式入口，输入账号和密码。token 失效时重新登录。</w:t>
      </w:r>
    </w:p>
    <w:p>
      <w:pPr>
        <w:keepNext/>
        <w:spacing w:before="40" w:after="60" w:line="300" w:lineRule="auto"/>
      </w:pPr>
      <w:r>
        <w:rPr>
          <w:rFonts w:ascii="Calibri" w:hAnsi="Calibri" w:eastAsia="Microsoft YaHei"/>
          <w:b/>
          <w:color w:val="17264A"/>
          <w:sz w:val="23"/>
        </w:rPr>
        <w:t>步骤 2  确认身份与月份</w:t>
      </w:r>
    </w:p>
    <w:p>
      <w:pPr>
        <w:keepNext w:val="0"/>
        <w:spacing w:before="0" w:after="140" w:line="300" w:lineRule="auto"/>
        <w:ind w:left="259"/>
      </w:pPr>
      <w:r>
        <w:rPr>
          <w:rFonts w:ascii="Calibri" w:hAnsi="Calibri" w:eastAsia="Microsoft YaHei"/>
          <w:color w:val="13213C"/>
          <w:sz w:val="21"/>
        </w:rPr>
        <w:t>左下角核对姓名/角色，页面顶部核对当前月份后再操作。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F6FED"/>
          <w:sz w:val="32"/>
        </w:rPr>
        <w:t>2. 每月必做流程</w:t>
      </w:r>
    </w:p>
    <w:p>
      <w:pPr>
        <w:keepNext/>
        <w:spacing w:before="40" w:after="60" w:line="300" w:lineRule="auto"/>
      </w:pPr>
      <w:r>
        <w:rPr>
          <w:rFonts w:ascii="Calibri" w:hAnsi="Calibri" w:eastAsia="Microsoft YaHei"/>
          <w:b/>
          <w:color w:val="17264A"/>
          <w:sz w:val="23"/>
        </w:rPr>
        <w:t>步骤 1  选择月份</w:t>
      </w:r>
    </w:p>
    <w:p>
      <w:pPr>
        <w:keepNext w:val="0"/>
        <w:spacing w:before="0" w:after="140" w:line="300" w:lineRule="auto"/>
        <w:ind w:left="259"/>
      </w:pPr>
      <w:r>
        <w:rPr>
          <w:rFonts w:ascii="Calibri" w:hAnsi="Calibri" w:eastAsia="Microsoft YaHei"/>
          <w:color w:val="13213C"/>
          <w:sz w:val="21"/>
        </w:rPr>
        <w:t>在经营总览点击月份。历史月份独立保存，切换月份不会删除其他月份数据。</w:t>
      </w:r>
    </w:p>
    <w:p>
      <w:pPr>
        <w:keepNext/>
        <w:spacing w:before="40" w:after="60" w:line="300" w:lineRule="auto"/>
      </w:pPr>
      <w:r>
        <w:rPr>
          <w:rFonts w:ascii="Calibri" w:hAnsi="Calibri" w:eastAsia="Microsoft YaHei"/>
          <w:b/>
          <w:color w:val="17264A"/>
          <w:sz w:val="23"/>
        </w:rPr>
        <w:t>步骤 2  导入 Excel</w:t>
      </w:r>
    </w:p>
    <w:p>
      <w:pPr>
        <w:keepNext w:val="0"/>
        <w:spacing w:before="0" w:after="140" w:line="300" w:lineRule="auto"/>
        <w:ind w:left="259"/>
      </w:pPr>
      <w:r>
        <w:rPr>
          <w:rFonts w:ascii="Calibri" w:hAnsi="Calibri" w:eastAsia="Microsoft YaHei"/>
          <w:color w:val="13213C"/>
          <w:sz w:val="21"/>
        </w:rPr>
        <w:t>点击“上传 Excel 导入”→查看预检→核对月份、票数、应收、应付、毛利和字段映射→确认写入。</w:t>
      </w:r>
    </w:p>
    <w:p>
      <w:pPr>
        <w:keepNext/>
        <w:spacing w:before="40" w:after="60" w:line="300" w:lineRule="auto"/>
      </w:pPr>
      <w:r>
        <w:rPr>
          <w:rFonts w:ascii="Calibri" w:hAnsi="Calibri" w:eastAsia="Microsoft YaHei"/>
          <w:b/>
          <w:color w:val="17264A"/>
          <w:sz w:val="23"/>
        </w:rPr>
        <w:t>步骤 3  核对财务数据</w:t>
      </w:r>
    </w:p>
    <w:p>
      <w:pPr>
        <w:keepNext w:val="0"/>
        <w:spacing w:before="0" w:after="140" w:line="300" w:lineRule="auto"/>
        <w:ind w:left="259"/>
      </w:pPr>
      <w:r>
        <w:rPr>
          <w:rFonts w:ascii="Calibri" w:hAnsi="Calibri" w:eastAsia="Microsoft YaHei"/>
          <w:color w:val="13213C"/>
          <w:sz w:val="21"/>
        </w:rPr>
        <w:t>在经营总览、业务利润、客户利润和风险复查中核对汇总并追溯原始 Excel 行。</w:t>
      </w:r>
    </w:p>
    <w:p>
      <w:pPr>
        <w:keepNext/>
        <w:spacing w:before="40" w:after="60" w:line="300" w:lineRule="auto"/>
      </w:pPr>
      <w:r>
        <w:rPr>
          <w:rFonts w:ascii="Calibri" w:hAnsi="Calibri" w:eastAsia="Microsoft YaHei"/>
          <w:b/>
          <w:color w:val="17264A"/>
          <w:sz w:val="23"/>
        </w:rPr>
        <w:t>步骤 4  确认提成和绩效</w:t>
      </w:r>
    </w:p>
    <w:p>
      <w:pPr>
        <w:keepNext w:val="0"/>
        <w:spacing w:before="0" w:after="140" w:line="300" w:lineRule="auto"/>
        <w:ind w:left="259"/>
      </w:pPr>
      <w:r>
        <w:rPr>
          <w:rFonts w:ascii="Calibri" w:hAnsi="Calibri" w:eastAsia="Microsoft YaHei"/>
          <w:color w:val="13213C"/>
          <w:sz w:val="21"/>
        </w:rPr>
        <w:t>主管确认物流提成、注册提成及操作员绩效；实际票数和人员归属均以 Excel 为准。</w:t>
      </w:r>
    </w:p>
    <w:p>
      <w:pPr>
        <w:keepNext/>
        <w:spacing w:before="40" w:after="60" w:line="300" w:lineRule="auto"/>
      </w:pPr>
      <w:r>
        <w:rPr>
          <w:rFonts w:ascii="Calibri" w:hAnsi="Calibri" w:eastAsia="Microsoft YaHei"/>
          <w:b/>
          <w:color w:val="17264A"/>
          <w:sz w:val="23"/>
        </w:rPr>
        <w:t>步骤 5  完成电子签名</w:t>
      </w:r>
    </w:p>
    <w:p>
      <w:pPr>
        <w:keepNext w:val="0"/>
        <w:spacing w:before="0" w:after="140" w:line="300" w:lineRule="auto"/>
        <w:ind w:left="259"/>
      </w:pPr>
      <w:r>
        <w:rPr>
          <w:rFonts w:ascii="Calibri" w:hAnsi="Calibri" w:eastAsia="Microsoft YaHei"/>
          <w:color w:val="13213C"/>
          <w:sz w:val="21"/>
        </w:rPr>
        <w:t>批量生成销售/操作员薪资确认单，发送链接，员工签名后由主管确认。</w:t>
      </w:r>
    </w:p>
    <w:p>
      <w:pPr>
        <w:keepNext/>
        <w:spacing w:before="40" w:after="60" w:line="300" w:lineRule="auto"/>
      </w:pPr>
      <w:r>
        <w:rPr>
          <w:rFonts w:ascii="Calibri" w:hAnsi="Calibri" w:eastAsia="Microsoft YaHei"/>
          <w:b/>
          <w:color w:val="17264A"/>
          <w:sz w:val="23"/>
        </w:rPr>
        <w:t>步骤 6  登记收付款</w:t>
      </w:r>
    </w:p>
    <w:p>
      <w:pPr>
        <w:keepNext w:val="0"/>
        <w:spacing w:before="0" w:after="140" w:line="300" w:lineRule="auto"/>
        <w:ind w:left="259"/>
      </w:pPr>
      <w:r>
        <w:rPr>
          <w:rFonts w:ascii="Calibri" w:hAnsi="Calibri" w:eastAsia="Microsoft YaHei"/>
          <w:color w:val="13213C"/>
          <w:sz w:val="21"/>
        </w:rPr>
        <w:t>在应收管理登记回款，在上游应付登记付款；错误记录只能作废并填写原因。</w:t>
      </w:r>
    </w:p>
    <w:p>
      <w:pPr>
        <w:keepNext/>
        <w:spacing w:before="40" w:after="60" w:line="300" w:lineRule="auto"/>
      </w:pPr>
      <w:r>
        <w:rPr>
          <w:rFonts w:ascii="Calibri" w:hAnsi="Calibri" w:eastAsia="Microsoft YaHei"/>
          <w:b/>
          <w:color w:val="17264A"/>
          <w:sz w:val="23"/>
        </w:rPr>
        <w:t>步骤 7  备份并锁账</w:t>
      </w:r>
    </w:p>
    <w:p>
      <w:pPr>
        <w:keepNext w:val="0"/>
        <w:spacing w:before="0" w:after="140" w:line="300" w:lineRule="auto"/>
        <w:ind w:left="259"/>
      </w:pPr>
      <w:r>
        <w:rPr>
          <w:rFonts w:ascii="Calibri" w:hAnsi="Calibri" w:eastAsia="Microsoft YaHei"/>
          <w:color w:val="13213C"/>
          <w:sz w:val="21"/>
        </w:rPr>
        <w:t>导出月报和系统备份，在参数规则页填写原因后锁账。未完成事项只提醒，仍可锁账。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7F2"/>
            <w:tcBorders>
              <w:start w:val="single" w:sz="20" w:color="20A67A"/>
            </w:tcBorders>
          </w:tcPr>
          <w:p>
            <w:pPr>
              <w:keepNext w:val="0"/>
              <w:spacing w:before="0" w:after="60" w:line="300" w:lineRule="auto"/>
            </w:pPr>
            <w:r>
              <w:rPr>
                <w:rFonts w:ascii="Calibri" w:hAnsi="Calibri" w:eastAsia="Microsoft YaHei"/>
                <w:b/>
                <w:color w:val="20A67A"/>
                <w:sz w:val="22"/>
              </w:rPr>
              <w:t>锁账规则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Microsoft YaHei"/>
                <w:color w:val="13213C"/>
                <w:sz w:val="21"/>
              </w:rPr>
              <w:t>锁账后该月份不能覆盖导入、回滚批次或修改历史确认数据；如需调整，由主管先解锁并记录原因。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Microsoft YaHei"/>
          <w:b w:val="0"/>
          <w:color w:val="13213C"/>
          <w:sz w:val="2"/>
        </w:rPr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F6FED"/>
          <w:sz w:val="32"/>
        </w:rPr>
        <w:t>3. Excel 导入要点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仅上传 .xlsx/.xls，默认不超过 25MB；预检阶段不会写数据库。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保留金额正负号、人民币/美元汇率标注、赔付、供应商、用户、销售代表、客服代表和下单时间。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有阻断项时按提示的 Excel 行和字段修正源文件后重新预检。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同月份重导以最新有效批次统计，旧批次保留审计记录；锁账月份禁止覆盖导入。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系统金额不一致时下钻费用明细，核对收付方向、金额、汇率、费用类型和重复行，禁止手改汇总。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cantSplit/>
          <w:tblHeader w:val="true"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264A"/>
                <w:sz w:val="19"/>
              </w:rPr>
              <w:t>必须重点核对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264A"/>
                <w:sz w:val="19"/>
              </w:rPr>
              <w:t>正确口径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应收/应付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费用行按收付方向聚合，保留原始正负号</w:t>
            </w:r>
          </w:p>
        </w:tc>
      </w:tr>
      <w:tr>
        <w:trPr>
          <w:cantSplit/>
        </w:trPr>
        <w:tc>
          <w:tcPr>
            <w:tcW w:type="dxa" w:w="27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汇率</w:t>
            </w:r>
          </w:p>
        </w:tc>
        <w:tc>
          <w:tcPr>
            <w:tcW w:type="dxa" w:w="666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人民币=1；美元未标注时=6.85；其余按 Excel 标注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赔付及其他费用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按 Excel 原始费用行参与计算，不改写正负号</w:t>
            </w:r>
          </w:p>
        </w:tc>
      </w:tr>
      <w:tr>
        <w:trPr>
          <w:cantSplit/>
        </w:trPr>
        <w:tc>
          <w:tcPr>
            <w:tcW w:type="dxa" w:w="27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人员和用户</w:t>
            </w:r>
          </w:p>
        </w:tc>
        <w:tc>
          <w:tcPr>
            <w:tcW w:type="dxa" w:w="666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严格读取销售代表、客服代表和用户字段</w:t>
            </w:r>
          </w:p>
        </w:tc>
      </w:tr>
    </w:tbl>
    <w:p>
      <w:pPr>
        <w:keepNext w:val="0"/>
        <w:spacing w:before="0" w:after="80" w:line="300" w:lineRule="auto"/>
      </w:pPr>
      <w:r>
        <w:rPr>
          <w:rFonts w:ascii="Calibri" w:hAnsi="Calibri" w:eastAsia="Microsoft YaHei"/>
          <w:b w:val="0"/>
          <w:color w:val="13213C"/>
          <w:sz w:val="2"/>
        </w:rPr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F6FED"/>
          <w:sz w:val="32"/>
        </w:rPr>
        <w:t>4. 页面怎么用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060"/>
      </w:tblGrid>
      <w:tr>
        <w:trPr>
          <w:cantSplit/>
          <w:tblHeader w:val="true"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264A"/>
                <w:sz w:val="19"/>
              </w:rPr>
              <w:t>页面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264A"/>
                <w:sz w:val="19"/>
              </w:rPr>
              <w:t>主要操作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经营总览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看应收、应付、毛利、毛利率、票数、趋势、客户和供应商</w:t>
            </w:r>
          </w:p>
        </w:tc>
      </w:tr>
      <w:tr>
        <w:trPr>
          <w:cantSplit/>
        </w:trPr>
        <w:tc>
          <w:tcPr>
            <w:tcW w:type="dxa" w:w="23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业务利润</w:t>
            </w:r>
          </w:p>
        </w:tc>
        <w:tc>
          <w:tcPr>
            <w:tcW w:type="dxa" w:w="706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核对总业务、物流、注册/服务分类及业务类型明细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物流提成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下钻订单，核对/调整比例，确认销售提成</w:t>
            </w:r>
          </w:p>
        </w:tc>
      </w:tr>
      <w:tr>
        <w:trPr>
          <w:cantSplit/>
        </w:trPr>
        <w:tc>
          <w:tcPr>
            <w:tcW w:type="dxa" w:w="23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注册提成</w:t>
            </w:r>
          </w:p>
        </w:tc>
        <w:tc>
          <w:tcPr>
            <w:tcW w:type="dxa" w:w="706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按销售代表确认注册、证书、商标和店铺租赁提成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操作员绩效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按客服代表统计，空运白关固定 50 元/票，自动汇总绩效</w:t>
            </w:r>
          </w:p>
        </w:tc>
      </w:tr>
      <w:tr>
        <w:trPr>
          <w:cantSplit/>
        </w:trPr>
        <w:tc>
          <w:tcPr>
            <w:tcW w:type="dxa" w:w="23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客户利润</w:t>
            </w:r>
          </w:p>
        </w:tc>
        <w:tc>
          <w:tcPr>
            <w:tcW w:type="dxa" w:w="706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查看客户应收、应付、毛利和毛利率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风险复查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查看原始 Excel 行，填写复核结论和说明</w:t>
            </w:r>
          </w:p>
        </w:tc>
      </w:tr>
      <w:tr>
        <w:trPr>
          <w:cantSplit/>
        </w:trPr>
        <w:tc>
          <w:tcPr>
            <w:tcW w:type="dxa" w:w="23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应收管理</w:t>
            </w:r>
          </w:p>
        </w:tc>
        <w:tc>
          <w:tcPr>
            <w:tcW w:type="dxa" w:w="706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登记/作废回款，查看未收款和账龄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上游应付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登记/作废付款，查看供应商费用和账龄</w:t>
            </w:r>
          </w:p>
        </w:tc>
      </w:tr>
      <w:tr>
        <w:trPr>
          <w:cantSplit/>
        </w:trPr>
        <w:tc>
          <w:tcPr>
            <w:tcW w:type="dxa" w:w="23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参数规则</w:t>
            </w:r>
          </w:p>
        </w:tc>
        <w:tc>
          <w:tcPr>
            <w:tcW w:type="dxa" w:w="706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模板、规则、流程提醒、锁账、账号、日志和系统状态</w:t>
            </w:r>
          </w:p>
        </w:tc>
      </w:tr>
    </w:tbl>
    <w:p>
      <w:pPr>
        <w:keepNext w:val="0"/>
        <w:spacing w:before="0" w:after="80" w:line="300" w:lineRule="auto"/>
      </w:pPr>
      <w:r>
        <w:rPr>
          <w:rFonts w:ascii="Calibri" w:hAnsi="Calibri" w:eastAsia="Microsoft YaHei"/>
          <w:b w:val="0"/>
          <w:color w:val="13213C"/>
          <w:sz w:val="2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7FB"/>
            <w:tcBorders>
              <w:start w:val="single" w:sz="20" w:color="2F6FED"/>
            </w:tcBorders>
          </w:tcPr>
          <w:p>
            <w:pPr>
              <w:keepNext w:val="0"/>
              <w:spacing w:before="0" w:after="60" w:line="300" w:lineRule="auto"/>
            </w:pPr>
            <w:r>
              <w:rPr>
                <w:rFonts w:ascii="Calibri" w:hAnsi="Calibri" w:eastAsia="Microsoft YaHei"/>
                <w:b/>
                <w:color w:val="2F6FED"/>
                <w:sz w:val="22"/>
              </w:rPr>
              <w:t>金额核对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Microsoft YaHei"/>
                <w:color w:val="13213C"/>
                <w:sz w:val="21"/>
              </w:rPr>
              <w:t>订单应收合计=经营总览总应收；物流订单应付合计=上游应付总应付；应收-应付=对应范围毛利；已收/已付+未收/未付=订单应收/应付。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Microsoft YaHei"/>
          <w:b w:val="0"/>
          <w:color w:val="13213C"/>
          <w:sz w:val="2"/>
        </w:rPr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F6FED"/>
          <w:sz w:val="32"/>
        </w:rPr>
        <w:t>5. 提成、绩效与电子签名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物流提成：点击销售代表票数下钻订单；主管可调整单票比例，系统自动重算金额。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注册提成：主管确认金额归属对应销售代表，并合并进入销售薪资确认单。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操作员绩效：人员取 Excel 客服代表；Excel 票数不人工增删，分类金额自动汇总。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电子签名：生成确认单→查看快照→生成/发送外链→员工签名→主管确认。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Excel、PDF、PNG 来自同一快照，应保持人员、版本、明细和金额一致。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签名链接一次性使用；过期、已签或作废后必须重新生成。已主管确认单据只能作废重签，不能覆盖。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7F2"/>
            <w:tcBorders>
              <w:start w:val="single" w:sz="20" w:color="20A67A"/>
            </w:tcBorders>
          </w:tcPr>
          <w:p>
            <w:pPr>
              <w:keepNext w:val="0"/>
              <w:spacing w:before="0" w:after="60" w:line="300" w:lineRule="auto"/>
            </w:pPr>
            <w:r>
              <w:rPr>
                <w:rFonts w:ascii="Calibri" w:hAnsi="Calibri" w:eastAsia="Microsoft YaHei"/>
                <w:b/>
                <w:color w:val="20A67A"/>
                <w:sz w:val="22"/>
              </w:rPr>
              <w:t>钉钉发送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Microsoft YaHei"/>
                <w:color w:val="13213C"/>
                <w:sz w:val="21"/>
              </w:rPr>
              <w:t>已配置企业应用且账号维护了员工钉钉用户 ID 时可直接发送；否则复制完整外部链接手工发送。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Microsoft YaHei"/>
          <w:b w:val="0"/>
          <w:color w:val="13213C"/>
          <w:sz w:val="2"/>
        </w:rPr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F6FED"/>
          <w:sz w:val="32"/>
        </w:rPr>
        <w:t>6. 收付款、风险与锁账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F6FED"/>
          <w:sz w:val="26"/>
        </w:rPr>
        <w:t>应收/应付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回款或付款需填写金额、日期、方式、参考号和备注，保存后汇总与账龄自动刷新。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错误结算不能删除，只能作废并填写原因，保留操作日志。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上游应付只统计物流类订单；注册、证书和店铺租赁等服务类应付单独管理。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F6FED"/>
          <w:sz w:val="26"/>
        </w:rPr>
        <w:t>风险复查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筛选低毛利或异常高利润订单，打开原始数据查看 Excel 行号和费用明细。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填写复核结论与处理说明后保存，复核人、时间和状态写入审计日志。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F6FED"/>
          <w:sz w:val="26"/>
        </w:rPr>
        <w:t>锁账与备份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参数规则页的未完成事项是提醒，不阻止主管锁账。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锁账前导出月报和系统备份；锁账/解锁都必须填写原因。</w:t>
      </w:r>
    </w:p>
    <w:p>
      <w:pPr>
        <w:pStyle w:val="ListBullet"/>
        <w:keepNext w:val="0"/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3213C"/>
          <w:sz w:val="22"/>
        </w:rPr>
        <w:t>参数规则和表头模板只由授权管理员修改；修改规则不应重算已确认历史快照。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F6FED"/>
          <w:sz w:val="26"/>
        </w:rPr>
        <w:t>常见问题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060"/>
      </w:tblGrid>
      <w:tr>
        <w:trPr>
          <w:cantSplit/>
          <w:tblHeader w:val="true"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264A"/>
                <w:sz w:val="19"/>
              </w:rPr>
              <w:t>问题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7264A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网页打不开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本地检查 5173/4000/54329；线上检查 GitHub Pages 和 Render</w:t>
            </w:r>
          </w:p>
        </w:tc>
      </w:tr>
      <w:tr>
        <w:trPr>
          <w:cantSplit/>
        </w:trPr>
        <w:tc>
          <w:tcPr>
            <w:tcW w:type="dxa" w:w="23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登录失败</w:t>
            </w:r>
          </w:p>
        </w:tc>
        <w:tc>
          <w:tcPr>
            <w:tcW w:type="dxa" w:w="706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确认账号未停用、密码未修改；由管理员重置密码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导入失败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查看预检阻断项、文件大小/类型及月份锁账状态</w:t>
            </w:r>
          </w:p>
        </w:tc>
      </w:tr>
      <w:tr>
        <w:trPr>
          <w:cantSplit/>
        </w:trPr>
        <w:tc>
          <w:tcPr>
            <w:tcW w:type="dxa" w:w="23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金额不一致</w:t>
            </w:r>
          </w:p>
        </w:tc>
        <w:tc>
          <w:tcPr>
            <w:tcW w:type="dxa" w:w="706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核对原始 Excel 费用行，不直接修改系统汇总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下载 401/403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重新登录并使用页面下载按钮，不直接打开 API 地址</w:t>
            </w:r>
          </w:p>
        </w:tc>
      </w:tr>
      <w:tr>
        <w:trPr>
          <w:cantSplit/>
        </w:trPr>
        <w:tc>
          <w:tcPr>
            <w:tcW w:type="dxa" w:w="230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签名链接无效</w:t>
            </w:r>
          </w:p>
        </w:tc>
        <w:tc>
          <w:tcPr>
            <w:tcW w:type="dxa" w:w="7060"/>
            <w:shd w:fill="F9FBFD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4" w:lineRule="auto"/>
            </w:pPr>
            <w:r>
              <w:rPr>
                <w:rFonts w:ascii="Calibri" w:hAnsi="Calibri" w:eastAsia="Microsoft YaHei"/>
                <w:color w:val="13213C"/>
                <w:sz w:val="18"/>
              </w:rPr>
              <w:t>确认使用线上链接；重新生成一次性签名链接</w:t>
            </w:r>
          </w:p>
        </w:tc>
      </w:tr>
    </w:tbl>
    <w:p>
      <w:pPr>
        <w:keepNext w:val="0"/>
        <w:spacing w:before="0" w:after="80" w:line="300" w:lineRule="auto"/>
      </w:pPr>
      <w:r>
        <w:rPr>
          <w:rFonts w:ascii="Calibri" w:hAnsi="Calibri" w:eastAsia="Microsoft YaHei"/>
          <w:b w:val="0"/>
          <w:color w:val="13213C"/>
          <w:sz w:val="2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E6"/>
            <w:tcBorders>
              <w:start w:val="single" w:sz="20" w:color="F08A24"/>
            </w:tcBorders>
          </w:tcPr>
          <w:p>
            <w:pPr>
              <w:keepNext w:val="0"/>
              <w:spacing w:before="0" w:after="60" w:line="300" w:lineRule="auto"/>
            </w:pPr>
            <w:r>
              <w:rPr>
                <w:rFonts w:ascii="Calibri" w:hAnsi="Calibri" w:eastAsia="Microsoft YaHei"/>
                <w:b/>
                <w:color w:val="F08A24"/>
                <w:sz w:val="22"/>
              </w:rPr>
              <w:t>内部责任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Microsoft YaHei"/>
                <w:color w:val="13213C"/>
                <w:sz w:val="21"/>
              </w:rPr>
              <w:t>系统用于计算、追溯和流程留痕，不替代会计凭证、银行流水、合同、发票和主管审批。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Microsoft YaHei"/>
          <w:b w:val="0"/>
          <w:color w:val="13213C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7200"/>
      <w:gridCol w:w="2160"/>
    </w:tblGrid>
    <w:tr>
      <w:trPr>
        <w:cantSplit/>
      </w:trPr>
      <w:tc>
        <w:tcPr>
          <w:tcW w:type="dxa" w:w="7200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jc w:val="left"/>
          </w:pPr>
          <w:r>
            <w:rPr>
              <w:rFonts w:ascii="Calibri" w:hAnsi="Calibri" w:eastAsia="Microsoft YaHei"/>
              <w:color w:val="67758D"/>
              <w:sz w:val="17"/>
            </w:rPr>
            <w:t>内部操作参考 | 数据以已导入原始 Excel 和数据库记录为准</w:t>
          </w:r>
        </w:p>
      </w:tc>
      <w:tc>
        <w:tcPr>
          <w:tcW w:type="dxa" w:w="2160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jc w:val="right"/>
          </w:pPr>
          <w:r>
            <w:rPr>
              <w:rFonts w:ascii="Calibri" w:hAnsi="Calibri" w:eastAsia="Microsoft YaHei"/>
              <w:color w:val="67758D"/>
              <w:sz w:val="18"/>
            </w:rPr>
            <w:t xml:space="preserve">第 </w:t>
          </w:r>
          <w:r>
            <w:rPr>
              <w:rFonts w:ascii="Calibri" w:hAnsi="Calibri" w:eastAsia="Microsoft YaHei"/>
              <w:color w:val="67758D"/>
              <w:sz w:val="18"/>
            </w:rPr>
            <w:fldChar w:fldCharType="begin"/>
            <w:instrText xml:space="preserve">PAGE</w:instrText>
            <w:fldChar w:fldCharType="end"/>
          </w:r>
          <w:r>
            <w:rPr>
              <w:rFonts w:ascii="Calibri" w:hAnsi="Calibri" w:eastAsia="Microsoft YaHei"/>
              <w:color w:val="67758D"/>
              <w:sz w:val="18"/>
            </w:rPr>
            <w:t xml:space="preserve"> 页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300" w:lineRule="auto"/>
      <w:jc w:val="left"/>
    </w:pPr>
    <w:r>
      <w:rPr>
        <w:rFonts w:ascii="Calibri" w:hAnsi="Calibri" w:eastAsia="Microsoft YaHei"/>
        <w:b/>
        <w:color w:val="67758D"/>
        <w:sz w:val="18"/>
      </w:rPr>
      <w:t>XJD Finance  |  跨境物流财务管理使用操作说明书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13213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F6FE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F6F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7264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XJD Finance 系统精简使用说明书</dc:title>
  <dc:subject>跨境物流财务管理系统精简操作指南</dc:subject>
  <dc:creator>XJD Finance</dc:creator>
  <cp:keywords>XJD Finance, 财务管理, Excel导入, 提成, 电子签名, 应收应付</cp:keywords>
  <dc:description>根据当前系统功能与权限生成。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