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080" w:line="300" w:lineRule="auto"/>
        <w:jc w:val="center"/>
      </w:pPr>
      <w:r>
        <w:rPr>
          <w:rFonts w:ascii="Calibri" w:hAnsi="Calibri" w:eastAsia="Microsoft YaHei"/>
          <w:b/>
          <w:color w:val="2F6FED"/>
          <w:sz w:val="24"/>
        </w:rPr>
        <w:t>XJD FINANCE</w:t>
      </w:r>
    </w:p>
    <w:p>
      <w:pPr>
        <w:keepNext w:val="0"/>
        <w:spacing w:before="0" w:after="200" w:line="300" w:lineRule="auto"/>
        <w:jc w:val="center"/>
      </w:pPr>
      <w:r>
        <w:rPr>
          <w:rFonts w:ascii="Calibri" w:hAnsi="Calibri" w:eastAsia="Microsoft YaHei"/>
          <w:b/>
          <w:color w:val="17264A"/>
          <w:sz w:val="60"/>
        </w:rPr>
        <w:t>系统使用操作说明书</w:t>
      </w:r>
    </w:p>
    <w:p>
      <w:pPr>
        <w:keepNext w:val="0"/>
        <w:spacing w:before="0" w:after="760" w:line="300" w:lineRule="auto"/>
        <w:jc w:val="center"/>
      </w:pPr>
      <w:r>
        <w:rPr>
          <w:rFonts w:ascii="Calibri" w:hAnsi="Calibri" w:eastAsia="Microsoft YaHei"/>
          <w:b w:val="0"/>
          <w:color w:val="67758D"/>
          <w:sz w:val="28"/>
        </w:rPr>
        <w:t>跨境物流财务管理 · 月度数据 · 提成签名 · 应收应付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Microsoft YaHei"/>
          <w:b w:val="0"/>
          <w:color w:val="13213C"/>
          <w:sz w:val="22"/>
        </w:rPr>
        <w:t>适用于财务、主管、管理层、销售代表与操作员</w:t>
      </w:r>
    </w:p>
    <w:p>
      <w:pPr>
        <w:keepNext w:val="0"/>
        <w:spacing w:before="0" w:after="840" w:line="300" w:lineRule="auto"/>
        <w:jc w:val="center"/>
      </w:pPr>
      <w:r>
        <w:rPr>
          <w:rFonts w:ascii="Calibri" w:hAnsi="Calibri" w:eastAsia="Microsoft YaHei"/>
          <w:b w:val="0"/>
          <w:color w:val="67758D"/>
          <w:sz w:val="20"/>
        </w:rPr>
        <w:t>版本 1.0  |  2026-07-20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  <w:tcBorders>
              <w:start w:val="single" w:sz="20" w:color="2F6FED"/>
            </w:tcBorders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2F6FED"/>
                <w:sz w:val="22"/>
              </w:rPr>
              <w:t>使用原则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color w:val="13213C"/>
                <w:sz w:val="21"/>
              </w:rPr>
              <w:t>系统汇总以当前月份最新有效导入批次为准。应收、应付、毛利、赔付、汇率和人员归属均追溯到原始 Excel 明细行；发现差异时先核对原始数据，不直接修改汇总金额。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keepNext w:val="0"/>
        <w:spacing w:before="0" w:after="40" w:line="300" w:lineRule="auto"/>
        <w:jc w:val="center"/>
      </w:pPr>
      <w:r>
        <w:rPr>
          <w:rFonts w:ascii="Calibri" w:hAnsi="Calibri" w:eastAsia="Microsoft YaHei"/>
          <w:b/>
          <w:color w:val="17264A"/>
          <w:sz w:val="21"/>
        </w:rPr>
        <w:t>线上系统</w:t>
      </w:r>
    </w:p>
    <w:p>
      <w:pPr>
        <w:keepNext w:val="0"/>
        <w:spacing w:before="0" w:after="40" w:line="300" w:lineRule="auto"/>
        <w:jc w:val="center"/>
      </w:pPr>
      <w:r>
        <w:rPr>
          <w:rFonts w:ascii="Calibri" w:hAnsi="Calibri" w:eastAsia="Microsoft YaHei"/>
          <w:b w:val="0"/>
          <w:color w:val="2F6FED"/>
          <w:sz w:val="19"/>
        </w:rPr>
        <w:t>https://jiayinz906-lang.github.io/cross-border-finance-mvp/#/dashboard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color w:val="67758D"/>
          <w:sz w:val="18"/>
        </w:rPr>
        <w:t>本地开发：http://localhost:5173/  |  API：http://localhost:4000/api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手册概览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3213C"/>
          <w:sz w:val="22"/>
        </w:rPr>
        <w:t>本手册按真实月度业务处理顺序编写。普通用户从“快速开始”进入；主管和财务人员应重点阅读 Excel 导入、确认签名、应收应付和月结锁账章节。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400"/>
        <w:gridCol w:w="48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章节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适用人员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目标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快速开始与登录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全部用户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进入系统、选择月份并确认页面状态</w:t>
            </w:r>
          </w:p>
        </w:tc>
      </w:tr>
      <w:tr>
        <w:trPr>
          <w:cantSplit/>
        </w:trPr>
        <w:tc>
          <w:tcPr>
            <w:tcW w:type="dxa" w:w="21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Excel 导入</w:t>
            </w:r>
          </w:p>
        </w:tc>
        <w:tc>
          <w:tcPr>
            <w:tcW w:type="dxa" w:w="24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财务、主管、管理员</w:t>
            </w:r>
          </w:p>
        </w:tc>
        <w:tc>
          <w:tcPr>
            <w:tcW w:type="dxa" w:w="486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预检原始台账并写入对应月份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提成、绩效与签名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主管、销售、操作员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完成金额确认和证据链留存</w:t>
            </w:r>
          </w:p>
        </w:tc>
      </w:tr>
      <w:tr>
        <w:trPr>
          <w:cantSplit/>
        </w:trPr>
        <w:tc>
          <w:tcPr>
            <w:tcW w:type="dxa" w:w="21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应收、应付与风险</w:t>
            </w:r>
          </w:p>
        </w:tc>
        <w:tc>
          <w:tcPr>
            <w:tcW w:type="dxa" w:w="24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财务、主管</w:t>
            </w:r>
          </w:p>
        </w:tc>
        <w:tc>
          <w:tcPr>
            <w:tcW w:type="dxa" w:w="486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登记收付款、复核异常并追溯原始行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参数、月结与运维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管理员、主管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管理规则、锁账、账号、日志与服务状态</w:t>
            </w:r>
          </w:p>
        </w:tc>
      </w:tr>
    </w:tbl>
    <w:p>
      <w:p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1. 访问、账号与登录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900"/>
        <w:gridCol w:w="36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环境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地址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线上前端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GitHub Pages / #/dashboard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电脑关闭后仍可访问；用于正式操作</w:t>
            </w:r>
          </w:p>
        </w:tc>
      </w:tr>
      <w:tr>
        <w:trPr>
          <w:cantSplit/>
        </w:trPr>
        <w:tc>
          <w:tcPr>
            <w:tcW w:type="dxa" w:w="18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线上后端</w:t>
            </w:r>
          </w:p>
        </w:tc>
        <w:tc>
          <w:tcPr>
            <w:tcW w:type="dxa" w:w="39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Render /api</w:t>
            </w:r>
          </w:p>
        </w:tc>
        <w:tc>
          <w:tcPr>
            <w:tcW w:type="dxa" w:w="366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由前端调用，不作为日常操作页面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本地前端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http://localhost:5173/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仅本机开发测试，依赖本机服务</w:t>
            </w:r>
          </w:p>
        </w:tc>
      </w:tr>
      <w:tr>
        <w:trPr>
          <w:cantSplit/>
        </w:trPr>
        <w:tc>
          <w:tcPr>
            <w:tcW w:type="dxa" w:w="18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本地后端</w:t>
            </w:r>
          </w:p>
        </w:tc>
        <w:tc>
          <w:tcPr>
            <w:tcW w:type="dxa" w:w="39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http://localhost:4000/api</w:t>
            </w:r>
          </w:p>
        </w:tc>
        <w:tc>
          <w:tcPr>
            <w:tcW w:type="dxa" w:w="366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健康检查路径为 /health</w:t>
            </w:r>
          </w:p>
        </w:tc>
      </w:tr>
    </w:tbl>
    <w:p>
      <w:p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1  打开系统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正式使用请打开线上前端地址；本机地址只用于开发和排查。未登录访问业务页面会自动跳转到登录页。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2  输入账号与密码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使用管理员分配的独立账号。首次登录或管理员重置密码后，按页面提示立即修改密码。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3  确认身份与月份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左侧栏底部显示当前用户和角色，顶部或侧栏显示当前月份。操作前先确认月份正确。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6"/>
            <w:tcBorders>
              <w:start w:val="single" w:sz="20" w:color="F08A24"/>
            </w:tcBorders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F08A24"/>
                <w:sz w:val="22"/>
              </w:rPr>
              <w:t>安全要求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color w:val="13213C"/>
                <w:sz w:val="21"/>
              </w:rPr>
              <w:t>不要在聊天、文档或群消息中传播生产密码。默认初始化口令仅用于首次建库，正式使用前必须修改；员工离职后应立即停用账号。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2. 角色与权限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680"/>
        <w:gridCol w:w="288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角色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主要可执行操作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系统管理员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账号、导入、回滚、规则、风险、确认单、锁账、报表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高权限操作均写入审计日志</w:t>
            </w:r>
          </w:p>
        </w:tc>
      </w:tr>
      <w:tr>
        <w:trPr>
          <w:cantSplit/>
        </w:trPr>
        <w:tc>
          <w:tcPr>
            <w:tcW w:type="dxa" w:w="18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财务</w:t>
            </w:r>
          </w:p>
        </w:tc>
        <w:tc>
          <w:tcPr>
            <w:tcW w:type="dxa" w:w="468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Excel 导入、风险复核、应收应付登记、报表导出</w:t>
            </w:r>
          </w:p>
        </w:tc>
        <w:tc>
          <w:tcPr>
            <w:tcW w:type="dxa" w:w="288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不能修改参数规则或主管确认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主管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导入、风险复核、提成确认、签名主管确认、锁账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不能管理系统账号或重置全部数据</w:t>
            </w:r>
          </w:p>
        </w:tc>
      </w:tr>
      <w:tr>
        <w:trPr>
          <w:cantSplit/>
        </w:trPr>
        <w:tc>
          <w:tcPr>
            <w:tcW w:type="dxa" w:w="18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老板/管理层</w:t>
            </w:r>
          </w:p>
        </w:tc>
        <w:tc>
          <w:tcPr>
            <w:tcW w:type="dxa" w:w="468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查看经营与财务数据、导出报表</w:t>
            </w:r>
          </w:p>
        </w:tc>
        <w:tc>
          <w:tcPr>
            <w:tcW w:type="dxa" w:w="288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只读，不进行业务写入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销售/客服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查看业务、确认单和个人相关数据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不能导入、锁账或修改规则</w:t>
            </w:r>
          </w:p>
        </w:tc>
      </w:tr>
    </w:tbl>
    <w:p>
      <w:p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3. 月度工作快速流程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1  切换或确认月份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在经营总览右上方点击“月份”，从数据库已有月份列表中选择。页面切换后，各业务页统一读取该月份最新有效批次。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2  导入 Excel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上传符合固定表头规范的月度运单明细，先完成预检，再确认写入数据库。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3  核对汇总与风险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检查总应收、总应付、毛利、票数、物流/服务拆分；进入风险复查核对低毛利、异常高利润或缺失信息。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4  确认提成与绩效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主管确认注册/服务提成，核对物流提成比例，确认操作员绩效规则与金额。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5  生成并发送确认单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在电子签名确认页生成销售薪资确认单和操作员薪资确认单，通过钉钉或复制外部链接发送。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6  登记收付款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财务在应收管理登记回款，在上游应付登记付款；错误记录通过作废操作纠正并保留日志。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7  锁账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主管在参数规则页查看月度闭环提醒并锁账。未完成项目只作提醒，仍可锁账；锁账后历史月份禁止覆盖导入。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2"/>
            <w:tcBorders>
              <w:start w:val="single" w:sz="20" w:color="20A67A"/>
            </w:tcBorders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20A67A"/>
                <w:sz w:val="22"/>
              </w:rPr>
              <w:t>月度数据保存方式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color w:val="13213C"/>
                <w:sz w:val="21"/>
              </w:rPr>
              <w:t>不同月份的数据分别保存。切换月份只改变查询范围，不会删除其他月份；同月份重新导入时，以最新有效批次作为统计来源，旧批次保留审计状态。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4. Excel 导入操作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4.1 导入前准备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使用经营总览中的“上传 Excel 导入”，不要上传截图、PDF 或改名后的临时文件。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工作表必须包含运单号、收付类型、费用类型等核心字段；系统会自动寻找有效明细工作表。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保留原始正负号、币种/汇率标注、供应商、销售代表、客服代表、用户和下单时间。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单个上传文件默认不超过 25MB，仅支持 .xlsx 与 .xls。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4.2 两步导入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1  选择文件并等待预检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预检阶段不写数据库。系统解析表头、月份、明细行、订单数、应收、应付、毛利、物流/服务拆分和质量问题。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2  核对字段映射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确认系统字段与 Excel 原始表头一一对应。缺失必填字段属于阻断问题；额外表头或非关键缺失通常作为提示。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3  处理阻断项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按提示中的 Excel 行号和字段修改原始表格后重新上传。存在阻断项时按钮不可写入数据库。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4  确认写入数据库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确认月份、票数及金额无误后点击“确认写入数据库”。成功后系统自动切换到导入月份并刷新全部页面。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6"/>
            <w:tcBorders>
              <w:start w:val="single" w:sz="20" w:color="F08A24"/>
            </w:tcBorders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F08A24"/>
                <w:sz w:val="22"/>
              </w:rPr>
              <w:t>严禁直接修正汇总数字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color w:val="13213C"/>
                <w:sz w:val="21"/>
              </w:rPr>
              <w:t>若系统金额与 Excel 透视表不同，应从订单费用明细和原始 Excel 行核对收付方向、原始金额、汇率、费用类型及重复行。不能通过手工修改总应收或总应付来消除差异。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4.3 固定表头规范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1740"/>
        <w:gridCol w:w="600"/>
        <w:gridCol w:w="1740"/>
        <w:gridCol w:w="600"/>
        <w:gridCol w:w="1740"/>
        <w:gridCol w:w="600"/>
        <w:gridCol w:w="1740"/>
      </w:tblGrid>
      <w:tr>
        <w:trPr>
          <w:cantSplit/>
          <w:tblHeader w:val="true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序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表头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序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表头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序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表头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序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表头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1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运单号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2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客户订单号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3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用户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4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服务</w:t>
            </w:r>
          </w:p>
        </w:tc>
      </w:tr>
      <w:tr>
        <w:trPr>
          <w:cantSplit/>
        </w:trPr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5</w:t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收费重(KG)</w:t>
            </w:r>
          </w:p>
        </w:tc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6</w:t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供应商收费重(KG)</w:t>
            </w:r>
          </w:p>
        </w:tc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7</w:t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供应商</w:t>
            </w:r>
          </w:p>
        </w:tc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8</w:t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供应商服务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9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收付类型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10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费用类型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11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金额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12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单价</w:t>
            </w:r>
          </w:p>
        </w:tc>
      </w:tr>
      <w:tr>
        <w:trPr>
          <w:cantSplit/>
        </w:trPr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13</w:t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本币费用</w:t>
            </w:r>
          </w:p>
        </w:tc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14</w:t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销售代表</w:t>
            </w:r>
          </w:p>
        </w:tc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15</w:t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备注</w:t>
            </w:r>
          </w:p>
        </w:tc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16</w:t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17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折合人民币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18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客服代表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19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下单时间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20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内部备注</w:t>
            </w:r>
          </w:p>
        </w:tc>
      </w:tr>
      <w:tr>
        <w:trPr>
          <w:cantSplit/>
        </w:trPr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21</w:t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实重</w:t>
            </w:r>
          </w:p>
        </w:tc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22</w:t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件数</w:t>
            </w:r>
          </w:p>
        </w:tc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  <w:t>23</w:t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主品名</w:t>
            </w:r>
          </w:p>
        </w:tc>
        <w:tc>
          <w:tcPr>
            <w:tcW w:type="dxa" w:w="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13213C"/>
                <w:sz w:val="18"/>
              </w:rPr>
            </w:r>
          </w:p>
        </w:tc>
        <w:tc>
          <w:tcPr>
            <w:tcW w:type="dxa" w:w="17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</w:r>
          </w:p>
        </w:tc>
      </w:tr>
    </w:tbl>
    <w:p>
      <w:p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5. 经营与利润页面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5.1 经营总览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顶部指标：总应收、总应付、调整后毛利、毛利率、总票数、物流提成、高风险票数。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月度趋势：鼠标悬停到月份数据点，查看该月应收、应付、毛利和毛利率。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业务类型利润：比较各业务类型本月应收、毛利与毛利率。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业务员毛利、客户利润、上游供应商应付集中度：用于快速定位重点人员、客户和供应商。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接口加载失败时页面显示错误与重试，不应把失败数据误显示为零。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5.2 业务利润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总业务卡片 = 物流业务 + 注册/服务类业务。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物流与注册/服务分类分别显示票数、应收、应付、毛利和毛利率。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业务类型汇总必须与订单明细和费用行合计一致；服务类不进入物流提成口径。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5.3 客户利润分析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应收占比用于识别最大流水客户，毛利占比用于识别利润贡献客户。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客户汇总包含应收、应付、毛利和毛利率；可按应收或毛利排序比较。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客户数据仅统计物流类应收应付时，页面会明确提示口径。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6. 物流提成与注册提成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6.1 物流提成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1  查看销售代表汇总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核对票数、物流调整后毛利、汇总毛利率、提成比例和应记提成。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2  下钻订单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点击票数查看系统单号、原始订单号、对应用户、毛利、提成比例、提成金额和状态。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3  调整比例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有权限的主管可修改单票提成比例。保存后系统自动重算提成金额；已确认历史单据不能直接覆盖。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4  确认并生成单据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完成核对后确认销售代表提成，并生成个人确认单。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6.2 注册提成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数据来自 Excel 中被识别为公司注册、证书、商标、店铺租赁等服务类订单。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核对对应用户、销售代表、客服代表、成交单价、成交利润、限定条件和建议提成。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主管填写确认提成并保存；确认金额归属对应销售代表，进入销售薪资确认单。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注册/服务提成不进入物流提成汇总，避免重复计算。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7. 操作员绩效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人员归属严格读取 Excel 的客服代表字段，页面称为“操作员”。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实际票数按导入 Excel 订单统计，不人工增删；规则基础票数按业务类型自动匹配。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空运白关固定按 50 元/票计算；其他业务按页面规则卡和当前参数执行。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允许修改的绩效规则值、分类金额和发放说明保存到数据库，系统自动汇总最终绩效金额。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保存调整不修改 Excel 原始票数和原始台账。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2"/>
            <w:tcBorders>
              <w:start w:val="single" w:sz="20" w:color="20A67A"/>
            </w:tcBorders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20A67A"/>
                <w:sz w:val="22"/>
              </w:rPr>
              <w:t>核对重点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color w:val="13213C"/>
                <w:sz w:val="21"/>
              </w:rPr>
              <w:t>每名操作员的最终绩效金额应等于各绩效板块小计之和。个人确认单会分别展示业务类型、Excel 票数、规则基础票数、计发票数、绩效规则和分类金额。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8. 电子签名确认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8.1 生成确认单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1  批量生成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在电子签名确认页生成销售薪资确认单和操作员薪资确认单。销售单汇总物流提成及已确认注册/服务提成；操作员单汇总绩效。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2  核对快照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点击“查看确认单”，核对月份、人员、订单/绩效明细、金额构成、最终金额和发放说明。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3  下载文件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Excel、PDF、PNG 均从同一份确认单快照生成，版本、人员和金额应一一对应。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8.2 外发和签名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1  生成外发链接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点击生成外发链接。配置钉钉且已维护员工钉钉用户 ID 时，可直接发送；否则复制完整链接手工发送。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2  员工查看并签名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员工打开公开签名页，无需后台登录即可查看自己的确认单明细，确认无误后提交电子签名。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3  主管确认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员工签名后，主管回到后台核对并执行主管确认。签名时间、IP、浏览器信息和主管确认均写入证据链。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4  作废重签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已主管确认的单据不能覆盖。发现错误时填写作废原因，再生成新版本并重新发送。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6"/>
            <w:tcBorders>
              <w:start w:val="single" w:sz="20" w:color="F08A24"/>
            </w:tcBorders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F08A24"/>
                <w:sz w:val="22"/>
              </w:rPr>
              <w:t>一次性链接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color w:val="13213C"/>
                <w:sz w:val="21"/>
              </w:rPr>
              <w:t>员工成功签名后 token 立即失效。链接过期、已签名或单据作废后必须重新生成，不能重复提交。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9. 风险复查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1  选择风险范围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可筛选全部风险、高风险或异常高利润订单。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2  查看原始数据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打开原始数据明细，按 Excel 行号核对系统单号、原始订单号、对应用户、收付方向、费用类型、原始金额、本币金额、汇率、供应商和人员归属。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3  填写复核说明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记录核对结论和处理意见后保存。不要只点击完成而不写说明。</w:t>
      </w:r>
    </w:p>
    <w:p>
      <w:pPr>
        <w:keepNext/>
        <w:spacing w:before="40" w:after="60" w:line="300" w:lineRule="auto"/>
      </w:pPr>
      <w:r>
        <w:rPr>
          <w:rFonts w:ascii="Calibri" w:hAnsi="Calibri" w:eastAsia="Microsoft YaHei"/>
          <w:b/>
          <w:color w:val="17264A"/>
          <w:sz w:val="23"/>
        </w:rPr>
        <w:t>步骤 4  保留审计记录</w:t>
      </w:r>
    </w:p>
    <w:p>
      <w:pPr>
        <w:keepNext w:val="0"/>
        <w:spacing w:before="0" w:after="140" w:line="300" w:lineRule="auto"/>
        <w:ind w:left="259"/>
      </w:pPr>
      <w:r>
        <w:rPr>
          <w:rFonts w:ascii="Calibri" w:hAnsi="Calibri" w:eastAsia="Microsoft YaHei"/>
          <w:color w:val="13213C"/>
          <w:sz w:val="21"/>
        </w:rPr>
        <w:t>复核人、时间、状态和说明会保存到数据库并写入操作日志。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10. 应收管理与上游应付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10.1 应收管理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查看总应收、已回款、未回款、逾期未回款和 0-30/31-60/61-90/90+ 天账龄。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按客户或订单搜索，核对订单编号、原始订单号、应收、已收、未收及状态。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登记回款时填写金额、日期、方式、参考号和备注；保存后订单状态、汇总和账龄同步刷新。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错误回款使用“作废”纠正，不能删除数据库记录；作废原因写入日志。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10.2 上游应付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页面只统计物流类订单；注册、证书、店铺租赁等服务类应付单独管理。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供应商汇总按 Excel 原始应付费用行归集；同一订单多个供应商会分别计入对应供应商。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查看总应付、已付款、未付款、逾期未付款和账龄，并下钻订单费用明细。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登记付款或作废错误付款后，供应商汇总、订单状态、未付款和账龄同步更新。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核对关系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正确结果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订单应收合计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等于应收管理总应收及经营总览总应收</w:t>
            </w:r>
          </w:p>
        </w:tc>
      </w:tr>
      <w:tr>
        <w:trPr>
          <w:cantSplit/>
        </w:trPr>
        <w:tc>
          <w:tcPr>
            <w:tcW w:type="dxa" w:w="30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物流订单应付合计</w:t>
            </w:r>
          </w:p>
        </w:tc>
        <w:tc>
          <w:tcPr>
            <w:tcW w:type="dxa" w:w="636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等于上游应付总应付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应收 - 应付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等于对应范围的调整后毛利</w:t>
            </w:r>
          </w:p>
        </w:tc>
      </w:tr>
      <w:tr>
        <w:trPr>
          <w:cantSplit/>
        </w:trPr>
        <w:tc>
          <w:tcPr>
            <w:tcW w:type="dxa" w:w="30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已收/已付 + 未收/未付</w:t>
            </w:r>
          </w:p>
        </w:tc>
        <w:tc>
          <w:tcPr>
            <w:tcW w:type="dxa" w:w="636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等于订单应收/应付</w:t>
            </w:r>
          </w:p>
        </w:tc>
      </w:tr>
    </w:tbl>
    <w:p>
      <w:p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11. 参数规则与月结锁账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11.1 月度闭环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流程步骤包含 Excel 导入、导入审计、风险复核、注册确认、提成签名、操作员签名、应收应付、CFO 就绪和锁账。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未完成事项显示为提醒，不阻止主管锁账；锁账前应根据实际业务判断是否允许带提醒关闭。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锁账后禁止覆盖导入、回滚批次、重新生成确认单和修改该月历史数据。需要调整时由主管解锁并填写原因。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锁账和解锁均写入操作日志。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11.2 参数与模板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表头模板只保存固定表头规范，不保存业务数据。后续 Excel 导入按模板进行字段映射。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参数规则使用 JSON 保存。修改前先备份，保存后影响后续导入和计算，不应追溯重算已确认历史快照。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只有具有 rules:write 权限的管理员可以保存参数规则。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11.3 账号与操作日志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管理员可创建账号、停用账号、重置密码和维护员工钉钉用户 ID。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不要多人共用管理员账号；每名员工使用独立账号，便于追溯操作人。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导入、回滚、风险复核、收付款、锁账、规则修改、签名和主管确认均可在操作日志中查询。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12. 系统运行状态与故障处理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12.1 运维状态面板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3213C"/>
          <w:sz w:val="22"/>
        </w:rPr>
        <w:t>参数规则页的“系统运行与就绪状态”用于判断问题发生在前端、后端、数据库还是外部集成。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600"/>
        <w:gridCol w:w="45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指标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正常状态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异常处理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数据库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通过，延迟为正常毫秒值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检查 Render PostgreSQL 或本地 54329</w:t>
            </w:r>
          </w:p>
        </w:tc>
      </w:tr>
      <w:tr>
        <w:trPr>
          <w:cantSplit/>
        </w:trPr>
        <w:tc>
          <w:tcPr>
            <w:tcW w:type="dxa" w:w="22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表头模板/参数规则</w:t>
            </w:r>
          </w:p>
        </w:tc>
        <w:tc>
          <w:tcPr>
            <w:tcW w:type="dxa" w:w="2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通过</w:t>
            </w:r>
          </w:p>
        </w:tc>
        <w:tc>
          <w:tcPr>
            <w:tcW w:type="dxa" w:w="456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刷新模板或检查数据库初始化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请求失败/慢请求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失败为 0，P95 合理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按请求 ID 查询后端结构化日志</w:t>
            </w:r>
          </w:p>
        </w:tc>
      </w:tr>
      <w:tr>
        <w:trPr>
          <w:cantSplit/>
        </w:trPr>
        <w:tc>
          <w:tcPr>
            <w:tcW w:type="dxa" w:w="22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进程内存</w:t>
            </w:r>
          </w:p>
        </w:tc>
        <w:tc>
          <w:tcPr>
            <w:tcW w:type="dxa" w:w="26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稳定，无持续增长</w:t>
            </w:r>
          </w:p>
        </w:tc>
        <w:tc>
          <w:tcPr>
            <w:tcW w:type="dxa" w:w="456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检查大文件导入、循环请求和 Render 实例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钉钉/ERPNext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已配置或明确显示未配置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检查 Render 环境变量和第三方权限</w:t>
            </w:r>
          </w:p>
        </w:tc>
      </w:tr>
    </w:tbl>
    <w:p>
      <w:p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12.2 常见问题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140"/>
        <w:gridCol w:w="432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问题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判断方法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网页打不开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区分本地地址还是线上地址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本地启动前后端和数据库；线上检查 Pages/Render</w:t>
            </w:r>
          </w:p>
        </w:tc>
      </w:tr>
      <w:tr>
        <w:trPr>
          <w:cantSplit/>
        </w:trPr>
        <w:tc>
          <w:tcPr>
            <w:tcW w:type="dxa" w:w="19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登录失败</w:t>
            </w:r>
          </w:p>
        </w:tc>
        <w:tc>
          <w:tcPr>
            <w:tcW w:type="dxa" w:w="31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查看是否账号停用、密码已改或 token 失效</w:t>
            </w:r>
          </w:p>
        </w:tc>
        <w:tc>
          <w:tcPr>
            <w:tcW w:type="dxa" w:w="432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联系管理员重置；重新登录，不反复尝试默认密码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导入失败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查看预检阻断项、文件类型、大小及月份锁账状态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修复指定 Excel 行/字段后重新预检</w:t>
            </w:r>
          </w:p>
        </w:tc>
      </w:tr>
      <w:tr>
        <w:trPr>
          <w:cantSplit/>
        </w:trPr>
        <w:tc>
          <w:tcPr>
            <w:tcW w:type="dxa" w:w="19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金额与 Excel 不一致</w:t>
            </w:r>
          </w:p>
        </w:tc>
        <w:tc>
          <w:tcPr>
            <w:tcW w:type="dxa" w:w="31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下钻费用行，核对方向、金额、汇率、重复行</w:t>
            </w:r>
          </w:p>
        </w:tc>
        <w:tc>
          <w:tcPr>
            <w:tcW w:type="dxa" w:w="432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修正源 Excel 后重新导入；不要改汇总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下载 401/403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确认登录状态和角色权限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重新登录后使用页面下载按钮，不直接打开 API URL</w:t>
            </w:r>
          </w:p>
        </w:tc>
      </w:tr>
      <w:tr>
        <w:trPr>
          <w:cantSplit/>
        </w:trPr>
        <w:tc>
          <w:tcPr>
            <w:tcW w:type="dxa" w:w="19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签名链接打不开</w:t>
            </w:r>
          </w:p>
        </w:tc>
        <w:tc>
          <w:tcPr>
            <w:tcW w:type="dxa" w:w="31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确认使用线上链接、token 未过期且单据未作废</w:t>
            </w:r>
          </w:p>
        </w:tc>
        <w:tc>
          <w:tcPr>
            <w:tcW w:type="dxa" w:w="432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重新生成并发送外部签名链接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钉钉发送失败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查看钉钉配置、应用发布和员工 ID 映射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修复配置后重发，或复制链接手工发送</w:t>
            </w:r>
          </w:p>
        </w:tc>
      </w:tr>
      <w:tr>
        <w:trPr>
          <w:cantSplit/>
        </w:trPr>
        <w:tc>
          <w:tcPr>
            <w:tcW w:type="dxa" w:w="19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Render 首次访问慢</w:t>
            </w:r>
          </w:p>
        </w:tc>
        <w:tc>
          <w:tcPr>
            <w:tcW w:type="dxa" w:w="314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健康接口等待时间明显增加</w:t>
            </w:r>
          </w:p>
        </w:tc>
        <w:tc>
          <w:tcPr>
            <w:tcW w:type="dxa" w:w="432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免费实例可能冷启动；升级实例可减少休眠</w:t>
            </w:r>
          </w:p>
        </w:tc>
      </w:tr>
    </w:tbl>
    <w:p>
      <w:p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  <w:tcBorders>
              <w:start w:val="single" w:sz="20" w:color="2F6FED"/>
            </w:tcBorders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2F6FED"/>
                <w:sz w:val="22"/>
              </w:rPr>
              <w:t>请求 ID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color w:val="13213C"/>
                <w:sz w:val="21"/>
              </w:rPr>
              <w:t>后端为每次请求返回 x-request-id。出现接口错误时记录页面时间、操作、月份和请求 ID，便于在 Render 日志中定位同一条请求。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13. 钉钉与 ERPNext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13.1 钉钉签名通知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企业应用单聊需要配置 AppKey、AppSecret、RobotCode，授予发送消息权限并发布应用。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参数规则页为每名员工维护正确的钉钉用户 ID。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先用测试员工生成确认单并发送；成功后再批量使用。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群机器人 Webhook 可作为群通知方式，但个人签名仍应使用每人独立链接。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13.2 ERPNext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当前集成为只读模式，通过后端安全读取 ERPNext 客户、供应商和销售/采购发票概览。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ERPNext 原始金额和币种保持不变，不自动写入 XJD 财务台账。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先在页面点击“测试连接”，成功后再查看概览或打开 ERPNext。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14. 报表、下载与备份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经营总览“导出月报”输出当前月份财务分析 Excel。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确认单 Excel、PDF、PNG 使用同一份 payload 快照，历史版本不重新计算金额。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参数规则页可导出当前月份或全量系统备份，包含模板、规则、批次、锁账、确认单和操作日志。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所有后台下载均通过当前登录 token 获取；不要直接转发受保护的下载 API。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15. 月度操作检查清单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15.1 导入前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确认目标月份及该月是否锁账。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确认 Excel 使用固定表头，明细工作表完整。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确认销售代表、客服代表、用户、供应商和下单时间已填写。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确认金额正负号、币种/汇率标注和赔付费用未被改写。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15.2 导入后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核对应收、应付、毛利、票数和物流/服务拆分。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核对费用明细合计与订单及汇总差异为 0。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完成风险复查、注册提成、物流提成和操作员绩效确认。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生成并发送确认单，跟进员工签名和主管确认。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登记本月回款和付款，处理错误结算记录。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F6FED"/>
          <w:sz w:val="26"/>
        </w:rPr>
        <w:t>15.3 锁账前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查看月度闭环提醒并确认未完成事项是否允许带入后续处理。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导出月报和系统备份。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填写锁账原因并执行锁账；确认该月份后续不能直接覆盖导入。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3213C"/>
          <w:sz w:val="22"/>
        </w:rPr>
        <w:t>抽查操作日志、确认单版本和签名证据。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6"/>
            <w:tcBorders>
              <w:start w:val="single" w:sz="20" w:color="F08A24"/>
            </w:tcBorders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F08A24"/>
                <w:sz w:val="22"/>
              </w:rPr>
              <w:t>最终责任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color w:val="13213C"/>
                <w:sz w:val="21"/>
              </w:rPr>
              <w:t>系统提供计算、追溯和流程留痕，但不替代正式会计凭证、银行流水、合同、发票和主管审批。财务结论应由具备权限的财务或主管人员最终确认。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F6FED"/>
          <w:sz w:val="32"/>
        </w:rPr>
        <w:t>附录：支持与版本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64A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系统名称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XJD Finance 跨境物流财务管理</w:t>
            </w:r>
          </w:p>
        </w:tc>
      </w:tr>
      <w:tr>
        <w:trPr>
          <w:cantSplit/>
        </w:trPr>
        <w:tc>
          <w:tcPr>
            <w:tcW w:type="dxa" w:w="25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前端部署</w:t>
            </w:r>
          </w:p>
        </w:tc>
        <w:tc>
          <w:tcPr>
            <w:tcW w:type="dxa" w:w="686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GitHub Pages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后端与数据库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Render Web Service + PostgreSQL</w:t>
            </w:r>
          </w:p>
        </w:tc>
      </w:tr>
      <w:tr>
        <w:trPr>
          <w:cantSplit/>
        </w:trPr>
        <w:tc>
          <w:tcPr>
            <w:tcW w:type="dxa" w:w="25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本地端口</w:t>
            </w:r>
          </w:p>
        </w:tc>
        <w:tc>
          <w:tcPr>
            <w:tcW w:type="dxa" w:w="686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前端 5173；后端 4000；PostgreSQL 54329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健康检查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/api/health；数据库就绪 /api/health/ready</w:t>
            </w:r>
          </w:p>
        </w:tc>
      </w:tr>
      <w:tr>
        <w:trPr>
          <w:cantSplit/>
        </w:trPr>
        <w:tc>
          <w:tcPr>
            <w:tcW w:type="dxa" w:w="250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手册版本</w:t>
            </w:r>
          </w:p>
        </w:tc>
        <w:tc>
          <w:tcPr>
            <w:tcW w:type="dxa" w:w="6860"/>
            <w:shd w:fill="F9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color w:val="13213C"/>
                <w:sz w:val="18"/>
              </w:rPr>
              <w:t>1.0（2026-07-20）</w:t>
            </w:r>
          </w:p>
        </w:tc>
      </w:tr>
    </w:tbl>
    <w:p>
      <w:p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color w:val="13213C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200"/>
      <w:gridCol w:w="2160"/>
    </w:tblGrid>
    <w:tr>
      <w:trPr>
        <w:cantSplit/>
      </w:trPr>
      <w:tc>
        <w:tcPr>
          <w:tcW w:type="dxa" w:w="72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Calibri" w:hAnsi="Calibri" w:eastAsia="Microsoft YaHei"/>
              <w:color w:val="67758D"/>
              <w:sz w:val="17"/>
            </w:rPr>
            <w:t>内部操作参考 | 数据以已导入原始 Excel 和数据库记录为准</w:t>
          </w:r>
        </w:p>
      </w:tc>
      <w:tc>
        <w:tcPr>
          <w:tcW w:type="dxa" w:w="21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color w:val="67758D"/>
              <w:sz w:val="18"/>
            </w:rPr>
            <w:t xml:space="preserve">第 </w:t>
          </w:r>
          <w:r>
            <w:rPr>
              <w:rFonts w:ascii="Calibri" w:hAnsi="Calibri" w:eastAsia="Microsoft YaHei"/>
              <w:color w:val="67758D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 w:eastAsia="Microsoft YaHei"/>
              <w:color w:val="67758D"/>
              <w:sz w:val="18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300" w:lineRule="auto"/>
      <w:jc w:val="left"/>
    </w:pPr>
    <w:r>
      <w:rPr>
        <w:rFonts w:ascii="Calibri" w:hAnsi="Calibri" w:eastAsia="Microsoft YaHei"/>
        <w:b/>
        <w:color w:val="67758D"/>
        <w:sz w:val="18"/>
      </w:rPr>
      <w:t>XJD Finance  |  跨境物流财务管理使用操作说明书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321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F6F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26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XJD Finance 系统使用操作说明书</dc:title>
  <dc:subject>跨境物流财务管理系统操作指南</dc:subject>
  <dc:creator>XJD Finance</dc:creator>
  <cp:keywords>XJD Finance, 财务管理, Excel导入, 提成, 电子签名, 应收应付</cp:keywords>
  <dc:description>根据当前系统功能与权限生成。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