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7E580" w14:textId="77777777" w:rsidR="00CC2974" w:rsidRDefault="00000000">
      <w:pPr>
        <w:spacing w:after="200"/>
        <w:jc w:val="center"/>
      </w:pPr>
      <w:r>
        <w:rPr>
          <w:rFonts w:eastAsia="Arial"/>
          <w:b/>
          <w:bCs/>
          <w:color w:val="2E4057"/>
          <w:sz w:val="36"/>
          <w:szCs w:val="36"/>
        </w:rPr>
        <w:t>From Sentiment to Signals: FinMini LLM for Financial Sentiment Analysis and Text-Driven Stock Movement Prediction</w:t>
      </w:r>
    </w:p>
    <w:p w14:paraId="745C4061" w14:textId="77777777" w:rsidR="00CC2974" w:rsidRDefault="00000000">
      <w:pPr>
        <w:spacing w:after="100"/>
        <w:jc w:val="center"/>
      </w:pPr>
      <w:r>
        <w:rPr>
          <w:rFonts w:eastAsia="Arial"/>
          <w:color w:val="666666"/>
          <w:sz w:val="26"/>
          <w:szCs w:val="26"/>
        </w:rPr>
        <w:t>EECS 545 Project Progress Report</w:t>
      </w:r>
    </w:p>
    <w:p w14:paraId="121EC433" w14:textId="77777777" w:rsidR="00CC2974" w:rsidRDefault="00000000">
      <w:pPr>
        <w:spacing w:after="80"/>
        <w:jc w:val="center"/>
      </w:pPr>
      <w:r>
        <w:rPr>
          <w:rFonts w:eastAsia="Arial"/>
          <w:b/>
          <w:bCs/>
          <w:sz w:val="26"/>
          <w:szCs w:val="26"/>
        </w:rPr>
        <w:t>Team Members</w:t>
      </w:r>
    </w:p>
    <w:p w14:paraId="41598EDA" w14:textId="605F0608" w:rsidR="00CC2974" w:rsidRDefault="00000000">
      <w:pPr>
        <w:spacing w:after="80"/>
        <w:jc w:val="center"/>
      </w:pPr>
      <w:r>
        <w:t>JiaYiZhang,JiaYuan</w:t>
      </w:r>
      <w:r w:rsidR="00F53661">
        <w:rPr>
          <w:rFonts w:hint="eastAsia"/>
        </w:rPr>
        <w:t>Jiang</w:t>
      </w:r>
      <w:r>
        <w:t>,YueYu,YiXiangFei,</w:t>
      </w:r>
    </w:p>
    <w:p w14:paraId="23CA0F1F" w14:textId="77777777" w:rsidR="00CC2974" w:rsidRDefault="00000000">
      <w:pPr>
        <w:spacing w:after="320"/>
        <w:jc w:val="center"/>
      </w:pPr>
      <w:hyperlink r:id="rId6">
        <w:r>
          <w:rPr>
            <w:color w:val="1155CC"/>
            <w:u w:val="single"/>
          </w:rPr>
          <w:t>yuyuea</w:t>
        </w:r>
      </w:hyperlink>
      <w:hyperlink r:id="rId7">
        <w:r>
          <w:rPr>
            <w:rFonts w:eastAsia="Arial"/>
            <w:color w:val="1155CC"/>
            <w:u w:val="single"/>
          </w:rPr>
          <w:t>@umich.edu</w:t>
        </w:r>
      </w:hyperlink>
      <w:r>
        <w:t>/jiayuanj@umich.edu/jiayizha@umich.edu/feiyx@umich.edu</w:t>
      </w:r>
    </w:p>
    <w:p w14:paraId="19B2EE82" w14:textId="77777777" w:rsidR="00CC2974" w:rsidRDefault="00000000">
      <w:pPr>
        <w:pStyle w:val="1"/>
      </w:pPr>
      <w:r>
        <w:t>Abstract</w:t>
      </w:r>
    </w:p>
    <w:p w14:paraId="0074A754" w14:textId="77777777" w:rsidR="00CC2974" w:rsidRDefault="00000000">
      <w:pPr>
        <w:spacing w:after="160"/>
      </w:pPr>
      <w:r>
        <w:rPr>
          <w:rFonts w:eastAsia="Arial"/>
        </w:rPr>
        <w:t>This project addresses the challenge of adapting general-purpose large language models (LLMs) to the financial domain, with a focus on two core tasks: financial sentiment analysis and text-driven stock movement prediction. We fine-tune a base LLM using Supervised Fine-Tuning (SFT) with parameter-efficient techniques (LoRA), leveraging two complementary datasets — Financial PhraseBank (FPB) and a large-scale financial sentiment corpus — totaling over 81,000 training samples. To improve model reasoning and interpretability, we additionally construct Chain-of-Thought (CoT) training data formatted with structured reasoning tags. We evaluate our model on the Open FinLLM Leaderboard using standard benchmarks including FPB, FiQA-SA, BigData22, ACL18, and CIKM18, reporting Accuracy, Macro-F1, and Matthews Correlation Coefficient (MCC). Our preliminary work has successfully completed data collection, preprocessing, and format unification, with model training and evaluation as the next phase.</w:t>
      </w:r>
    </w:p>
    <w:p w14:paraId="1643FA8A" w14:textId="77777777" w:rsidR="00CC2974" w:rsidRDefault="00CC2974">
      <w:pPr>
        <w:spacing w:after="80"/>
      </w:pPr>
    </w:p>
    <w:p w14:paraId="48EF3C60" w14:textId="77777777" w:rsidR="00CC2974" w:rsidRDefault="00000000">
      <w:pPr>
        <w:pStyle w:val="1"/>
      </w:pPr>
      <w:r>
        <w:t>1. Introduction</w:t>
      </w:r>
    </w:p>
    <w:p w14:paraId="1CEC15B7" w14:textId="77777777" w:rsidR="00CC2974" w:rsidRDefault="00000000">
      <w:pPr>
        <w:pStyle w:val="2"/>
      </w:pPr>
      <w:r>
        <w:t>1.1 Problem Description and Motivation</w:t>
      </w:r>
    </w:p>
    <w:p w14:paraId="2809DFC1" w14:textId="77777777" w:rsidR="00CC2974" w:rsidRDefault="00000000">
      <w:pPr>
        <w:spacing w:after="160"/>
      </w:pPr>
      <w:r>
        <w:rPr>
          <w:rFonts w:eastAsia="Arial"/>
        </w:rPr>
        <w:t>Large Language Models (LLMs) have demonstrated impressive general-purpose language capabilities, yet they consistently underperform in specialized financial domains. Financial texts contain domain-specific terminology, subtle sentiment signals, and complex reasoning chains that differ substantially from everyday language. For instance, a phrase such as "the company reported earnings in line with expectations" may be interpreted neutrally by a general-purpose LLM, while financial analysts would recognize it as a mildly negative signal if market expectations had already priced in an upside surprise.</w:t>
      </w:r>
    </w:p>
    <w:p w14:paraId="1DD9B386" w14:textId="77777777" w:rsidR="00CC2974" w:rsidRDefault="00000000">
      <w:pPr>
        <w:spacing w:after="160"/>
      </w:pPr>
      <w:r>
        <w:rPr>
          <w:rFonts w:eastAsia="Arial"/>
        </w:rPr>
        <w:t>Two financially critical NLP tasks remain particularly challenging for general LLMs: (1) financial sentiment analysis — accurately classifying the market-relevant sentiment of financial texts as positive, negative, or neutral — and (2) text-driven stock movement prediction — reasoning about whether a given piece of financial news implies an upward or downward price movement.</w:t>
      </w:r>
    </w:p>
    <w:p w14:paraId="43C8EF4D" w14:textId="77777777" w:rsidR="00CC2974" w:rsidRDefault="00CC2974">
      <w:pPr>
        <w:spacing w:after="80"/>
      </w:pPr>
    </w:p>
    <w:p w14:paraId="0E912BBA" w14:textId="77777777" w:rsidR="00CC2974" w:rsidRDefault="00000000">
      <w:pPr>
        <w:pStyle w:val="2"/>
      </w:pPr>
      <w:r>
        <w:t>1.2 Motivation</w:t>
      </w:r>
    </w:p>
    <w:p w14:paraId="72472E5F" w14:textId="77777777" w:rsidR="00CC2974" w:rsidRDefault="00000000">
      <w:pPr>
        <w:spacing w:after="160"/>
      </w:pPr>
      <w:r>
        <w:rPr>
          <w:rFonts w:eastAsia="Arial"/>
        </w:rPr>
        <w:t>The gap between general LLM capabilities and financial NLP requirements creates significant practical limitations. Without domain-specific adaptation, LLMs may hallucinate causal financial relationships, misinterpret sentiment in context, or fail to reason coherently about how news events map to market behavior. Bridging this gap through fine-tuning enables LLMs to function as genuine financial understanding tools rather than brittle classifiers.</w:t>
      </w:r>
    </w:p>
    <w:p w14:paraId="2FCAEE5F" w14:textId="77777777" w:rsidR="00CC2974" w:rsidRDefault="00CC2974">
      <w:pPr>
        <w:spacing w:after="80"/>
      </w:pPr>
    </w:p>
    <w:p w14:paraId="17276FBB" w14:textId="77777777" w:rsidR="00CC2974" w:rsidRDefault="00000000">
      <w:pPr>
        <w:pStyle w:val="2"/>
      </w:pPr>
      <w:r>
        <w:t>1.3 Impact of a Successful Solution</w:t>
      </w:r>
    </w:p>
    <w:p w14:paraId="5EF61BC5" w14:textId="77777777" w:rsidR="00CC2974" w:rsidRDefault="00000000">
      <w:pPr>
        <w:spacing w:after="160"/>
      </w:pPr>
      <w:r>
        <w:rPr>
          <w:rFonts w:eastAsia="Arial"/>
        </w:rPr>
        <w:t>A successfully fine-tuned financial LLM would serve as an interpretable decision-support tool for market analysis, risk assessment, and investment research. Unlike black-box predictive models, a reasoning-capable LLM can provide structured justifications for its predictions, making it more trustworthy and actionable for financial practitioners. Moreover, improvements on public leaderboards such as Open FinLLM Leaderboard would validate the generalizability of the approach across diverse financial NLP benchmarks.</w:t>
      </w:r>
    </w:p>
    <w:p w14:paraId="22942F4F" w14:textId="77777777" w:rsidR="00CC2974" w:rsidRDefault="00CC2974">
      <w:pPr>
        <w:spacing w:after="80"/>
      </w:pPr>
    </w:p>
    <w:p w14:paraId="29E79BE7" w14:textId="77777777" w:rsidR="00CC2974" w:rsidRDefault="00000000">
      <w:pPr>
        <w:pStyle w:val="1"/>
      </w:pPr>
      <w:r>
        <w:t>2. Proposed Method</w:t>
      </w:r>
    </w:p>
    <w:p w14:paraId="3554BB38" w14:textId="77777777" w:rsidR="00CC2974" w:rsidRDefault="00000000">
      <w:pPr>
        <w:pStyle w:val="2"/>
      </w:pPr>
      <w:r>
        <w:t>2.1 Overview</w:t>
      </w:r>
    </w:p>
    <w:p w14:paraId="0E9F2611" w14:textId="77777777" w:rsidR="00CC2974" w:rsidRDefault="00000000">
      <w:pPr>
        <w:spacing w:after="160"/>
      </w:pPr>
      <w:r>
        <w:rPr>
          <w:rFonts w:eastAsia="Arial"/>
        </w:rPr>
        <w:t xml:space="preserve">We propose a two-stage fine-tuning pipeline for adapting a general-purpose LLM to the financial domain. The pipeline begins with standard Supervised Fine-Tuning (SFT) on text-label formatted data, followed by Chain-of-Thought SFT (CoT-SFT) using structured reasoning data. We employ parameter-efficient fine-tuning via </w:t>
      </w:r>
      <w:r>
        <w:t>Q</w:t>
      </w:r>
      <w:r>
        <w:rPr>
          <w:rFonts w:eastAsia="Arial"/>
        </w:rPr>
        <w:t>LoRA to enable training under limited computational resources.</w:t>
      </w:r>
    </w:p>
    <w:p w14:paraId="0A842209" w14:textId="77777777" w:rsidR="00CC2974" w:rsidRDefault="00CC2974">
      <w:pPr>
        <w:spacing w:after="80"/>
      </w:pPr>
    </w:p>
    <w:p w14:paraId="0A1A6E2B" w14:textId="77777777" w:rsidR="00CC2974" w:rsidRDefault="00000000">
      <w:pPr>
        <w:pStyle w:val="2"/>
      </w:pPr>
      <w:r>
        <w:t>2.2 Feasibility</w:t>
      </w:r>
    </w:p>
    <w:p w14:paraId="33011242" w14:textId="77777777" w:rsidR="00CC2974" w:rsidRDefault="00000000">
      <w:pPr>
        <w:spacing w:after="160"/>
      </w:pPr>
      <w:r>
        <w:rPr>
          <w:rFonts w:eastAsia="Arial"/>
        </w:rPr>
        <w:t>Prior work has demonstrated that domain-specific SFT significantly improves LLM performance on financial NLP benchmarks. Furthermore, recent studies (Ou et al., 2025) have shown that long CoT SFT is a critical prerequisite for instilling robust reasoning capabilities in lightweight LLMs — even outperforming reinforcement learning (RL) as a standalone strategy for small models. Given these findings, our two-stage approach is well-motivated: Stage 1 provides domain knowledge through text-label SFT, while Stage 2 builds reasoning capability through CoT-SFT.</w:t>
      </w:r>
    </w:p>
    <w:p w14:paraId="4B262F04" w14:textId="77777777" w:rsidR="00CC2974" w:rsidRDefault="00CC2974">
      <w:pPr>
        <w:spacing w:after="80"/>
      </w:pPr>
    </w:p>
    <w:p w14:paraId="12E67968" w14:textId="77777777" w:rsidR="00CC2974" w:rsidRDefault="00000000">
      <w:pPr>
        <w:pStyle w:val="2"/>
      </w:pPr>
      <w:r>
        <w:t>2.3 Technical Details</w:t>
      </w:r>
    </w:p>
    <w:p w14:paraId="2ECC532A" w14:textId="77777777" w:rsidR="00CC2974" w:rsidRDefault="00000000">
      <w:pPr>
        <w:spacing w:after="160"/>
      </w:pPr>
      <w:r>
        <w:rPr>
          <w:rFonts w:eastAsia="Arial"/>
          <w:b/>
          <w:bCs/>
        </w:rPr>
        <w:lastRenderedPageBreak/>
        <w:t xml:space="preserve">Base Model: </w:t>
      </w:r>
      <w:r>
        <w:t>DeepSeek-R1-Distill-Llama-8B,</w:t>
      </w:r>
      <w:r>
        <w:rPr>
          <w:rFonts w:eastAsia="Arial"/>
        </w:rPr>
        <w:t xml:space="preserve"> a strong open-source LLM with broad multilingual and financial text understanding capabilities.</w:t>
      </w:r>
    </w:p>
    <w:p w14:paraId="6F9F3790" w14:textId="77777777" w:rsidR="00CC2974" w:rsidRDefault="00000000">
      <w:pPr>
        <w:spacing w:after="160"/>
      </w:pPr>
      <w:r>
        <w:rPr>
          <w:rFonts w:eastAsia="Arial"/>
          <w:b/>
          <w:bCs/>
        </w:rPr>
        <w:t xml:space="preserve">Fine-tuning Method: </w:t>
      </w:r>
      <w:r>
        <w:t>QLoRA (Quantized Low-Rank Adaptation), An advancement of LoRA that utilizes 4-bit NormalFloat (NF4) quantization to compress the frozen base model. By combining high-precision quantization with small, trainable adapter layers, QLoRA drastically reduces GPU memory overhead, while maintaining performance levels on par with full-parameter fine-tuning.</w:t>
      </w:r>
    </w:p>
    <w:p w14:paraId="4A239030" w14:textId="77777777" w:rsidR="00CC2974" w:rsidRDefault="00000000">
      <w:pPr>
        <w:spacing w:after="160"/>
      </w:pPr>
      <w:r>
        <w:rPr>
          <w:rFonts w:eastAsia="Arial"/>
          <w:b/>
          <w:bCs/>
        </w:rPr>
        <w:t xml:space="preserve">Training Platform: </w:t>
      </w:r>
      <w:r>
        <w:t xml:space="preserve">Google Colab with </w:t>
      </w:r>
      <w:r>
        <w:rPr>
          <w:rFonts w:eastAsia="Arial"/>
        </w:rPr>
        <w:t>University of Michigan Great Lakes HPC cluster, using Singularity containers with PyTorch and the LLaMA-Factory training framework.</w:t>
      </w:r>
    </w:p>
    <w:p w14:paraId="515F6B76" w14:textId="77777777" w:rsidR="00CC2974" w:rsidRDefault="00CC2974">
      <w:pPr>
        <w:spacing w:after="80"/>
      </w:pPr>
    </w:p>
    <w:p w14:paraId="54AA6888" w14:textId="77777777" w:rsidR="00CC2974" w:rsidRDefault="00000000">
      <w:pPr>
        <w:pStyle w:val="2"/>
      </w:pPr>
      <w:r>
        <w:t>2.4 Pipeline Description</w:t>
      </w:r>
    </w:p>
    <w:p w14:paraId="2878FB01" w14:textId="77777777" w:rsidR="00CC2974" w:rsidRDefault="00000000">
      <w:pPr>
        <w:spacing w:after="160"/>
      </w:pPr>
      <w:r>
        <w:rPr>
          <w:rFonts w:eastAsia="Arial"/>
        </w:rPr>
        <w:t>The following describes our end-to-end pipeline:</w:t>
      </w:r>
    </w:p>
    <w:p w14:paraId="444227C9" w14:textId="77777777" w:rsidR="00CC2974" w:rsidRDefault="00000000">
      <w:pPr>
        <w:numPr>
          <w:ilvl w:val="0"/>
          <w:numId w:val="1"/>
        </w:numPr>
        <w:pBdr>
          <w:top w:val="nil"/>
          <w:left w:val="nil"/>
          <w:bottom w:val="nil"/>
          <w:right w:val="nil"/>
          <w:between w:val="nil"/>
        </w:pBdr>
        <w:spacing w:after="100"/>
      </w:pPr>
      <w:r>
        <w:rPr>
          <w:rFonts w:eastAsia="Arial"/>
          <w:color w:val="000000"/>
        </w:rPr>
        <w:t>Stage 0 — Data Collection: Download FPB and DS2 datasets from Hugging Face.</w:t>
      </w:r>
    </w:p>
    <w:p w14:paraId="38FD1C5E" w14:textId="77777777" w:rsidR="00CC2974" w:rsidRDefault="00000000">
      <w:pPr>
        <w:numPr>
          <w:ilvl w:val="0"/>
          <w:numId w:val="1"/>
        </w:numPr>
        <w:pBdr>
          <w:top w:val="nil"/>
          <w:left w:val="nil"/>
          <w:bottom w:val="nil"/>
          <w:right w:val="nil"/>
          <w:between w:val="nil"/>
        </w:pBdr>
        <w:spacing w:after="100"/>
      </w:pPr>
      <w:r>
        <w:rPr>
          <w:rFonts w:eastAsia="Arial"/>
          <w:color w:val="000000"/>
        </w:rPr>
        <w:t>Stage 1 — Text-Label SFT: Format data as (instruction, input, output) triples where output is a single sentiment label. Fine-tune base model with QLoRA.</w:t>
      </w:r>
    </w:p>
    <w:p w14:paraId="61360D86" w14:textId="77777777" w:rsidR="00CC2974" w:rsidRDefault="00000000">
      <w:pPr>
        <w:numPr>
          <w:ilvl w:val="0"/>
          <w:numId w:val="1"/>
        </w:numPr>
        <w:pBdr>
          <w:top w:val="nil"/>
          <w:left w:val="nil"/>
          <w:bottom w:val="nil"/>
          <w:right w:val="nil"/>
          <w:between w:val="nil"/>
        </w:pBdr>
        <w:spacing w:after="100"/>
      </w:pPr>
      <w:r>
        <w:rPr>
          <w:rFonts w:eastAsia="Arial"/>
          <w:color w:val="000000"/>
        </w:rPr>
        <w:t>Stage 2 — CoT-SFT: Augment training data with structured reasoning in &lt;think&gt;...&lt;/think&gt; format. Fine-tune the Stage 1 model further.</w:t>
      </w:r>
    </w:p>
    <w:p w14:paraId="71B1C38A" w14:textId="77777777" w:rsidR="00CC2974" w:rsidRDefault="00000000">
      <w:pPr>
        <w:numPr>
          <w:ilvl w:val="0"/>
          <w:numId w:val="1"/>
        </w:numPr>
        <w:pBdr>
          <w:top w:val="nil"/>
          <w:left w:val="nil"/>
          <w:bottom w:val="nil"/>
          <w:right w:val="nil"/>
          <w:between w:val="nil"/>
        </w:pBdr>
        <w:spacing w:after="100"/>
      </w:pPr>
      <w:r>
        <w:rPr>
          <w:rFonts w:eastAsia="Arial"/>
          <w:color w:val="000000"/>
        </w:rPr>
        <w:t>Evaluation: Submit to Open FinLLM Leaderboard for standardized benchmark evaluation.</w:t>
      </w:r>
    </w:p>
    <w:p w14:paraId="4BA77A9F" w14:textId="77777777" w:rsidR="00CC2974" w:rsidRDefault="00000000">
      <w:pPr>
        <w:numPr>
          <w:ilvl w:val="0"/>
          <w:numId w:val="1"/>
        </w:numPr>
        <w:pBdr>
          <w:top w:val="nil"/>
          <w:left w:val="nil"/>
          <w:bottom w:val="nil"/>
          <w:right w:val="nil"/>
          <w:between w:val="nil"/>
        </w:pBdr>
        <w:spacing w:after="100"/>
      </w:pPr>
      <w:r>
        <w:t>Application: Deploy the model to analyze daily news feeds for binary (Up/Down) price predictions. Evaluate the practical utility by correlating model outputs with actual market direction to calculate classification accuracy and F1-score.</w:t>
      </w:r>
    </w:p>
    <w:p w14:paraId="7317F868" w14:textId="77777777" w:rsidR="00CC2974" w:rsidRDefault="00000000">
      <w:pPr>
        <w:pStyle w:val="2"/>
        <w:spacing w:before="360" w:after="80"/>
        <w:rPr>
          <w:color w:val="000000"/>
          <w:sz w:val="34"/>
          <w:szCs w:val="34"/>
        </w:rPr>
      </w:pPr>
      <w:bookmarkStart w:id="0" w:name="_heading=h.ubdinaxi2fa" w:colFirst="0" w:colLast="0"/>
      <w:bookmarkEnd w:id="0"/>
      <w:r>
        <w:rPr>
          <w:color w:val="000000"/>
          <w:sz w:val="34"/>
          <w:szCs w:val="34"/>
        </w:rPr>
        <w:t>2.5 Data Description</w:t>
      </w:r>
    </w:p>
    <w:p w14:paraId="79A19507" w14:textId="77777777" w:rsidR="00CC2974" w:rsidRDefault="00000000">
      <w:pPr>
        <w:spacing w:before="240" w:after="240"/>
      </w:pPr>
      <w:r>
        <w:t>We utilize three complementary datasets to construct the training and evaluation corpus for financial sentiment analysis and stock movement prediction tasks.</w:t>
      </w:r>
    </w:p>
    <w:p w14:paraId="46DF3949" w14:textId="77777777" w:rsidR="00CC2974" w:rsidRDefault="00000000">
      <w:pPr>
        <w:spacing w:before="240" w:after="240"/>
      </w:pPr>
      <w:r>
        <w:rPr>
          <w:b/>
          <w:bCs/>
        </w:rPr>
        <w:t>Financial PhraseBank (FPB, takala/financial_phrasebank).</w:t>
      </w:r>
      <w:r>
        <w:br/>
        <w:t xml:space="preserve"> This dataset contains 2,264 high-quality financial news sentences annotated by financial experts with 100% inter-annotator agreement. Each sentence is originally labeled with one of three sentiment categories: positive, negative, or neutral. Due to its high annotation reliability, FPB is widely used as a benchmark dataset in financial sentiment analysis research.</w:t>
      </w:r>
    </w:p>
    <w:p w14:paraId="7CA57637" w14:textId="77777777" w:rsidR="00CC2974" w:rsidRDefault="00000000">
      <w:pPr>
        <w:spacing w:before="240" w:after="240"/>
      </w:pPr>
      <w:r>
        <w:rPr>
          <w:b/>
          <w:bCs/>
        </w:rPr>
        <w:t>Financial Sentiment Analysis Dataset (siyuxyz/financial-sentiment-analysis).</w:t>
      </w:r>
      <w:r>
        <w:br/>
        <w:t xml:space="preserve"> This large-scale dataset consists of 100,037 financial text samples aggregated from multiple sources, including FinGPT-generated data, financial news, and social media posts. The original labels are encoded as 0 (neutral), 1 (positive), and 2 (negative). Its </w:t>
      </w:r>
      <w:r>
        <w:lastRenderedPageBreak/>
        <w:t>large scale provides sufficient training data for fine-tuning large language models on financial sentiment classification tasks.</w:t>
      </w:r>
    </w:p>
    <w:p w14:paraId="72B50DDE" w14:textId="77777777" w:rsidR="00CC2974" w:rsidRDefault="00000000">
      <w:pPr>
        <w:spacing w:before="240" w:after="240"/>
      </w:pPr>
      <w:r>
        <w:rPr>
          <w:b/>
          <w:bCs/>
        </w:rPr>
        <w:t>FLARE-SM-ACL Dataset (TheFinAI/flare-sm-acl).</w:t>
      </w:r>
      <w:r>
        <w:br/>
        <w:t xml:space="preserve"> This dataset focuses on text-driven stock movement prediction, where the task is to predict whether a stock price will rise or fall based on financial information and social media signals. The dataset contains approximately 27,000 samples and serves as a challenging benchmark for evaluating financial reasoning and market prediction capabilities.</w:t>
      </w:r>
    </w:p>
    <w:p w14:paraId="26E20173" w14:textId="77777777" w:rsidR="00CC2974" w:rsidRDefault="00000000">
      <w:pPr>
        <w:spacing w:before="240" w:after="240"/>
      </w:pPr>
      <w:r>
        <w:t>Since the three datasets adopt different labeling schemes, we unify them into a binary sentiment classification framework. Specifically, positive and rise labels are mapped to the positive class, while negative and fall labels are mapped to the negative class. Neutral samples are removed to maintain a consistent binary classification setting across all datasets.</w:t>
      </w:r>
    </w:p>
    <w:p w14:paraId="475E5FBC" w14:textId="77777777" w:rsidR="00CC2974" w:rsidRDefault="00000000">
      <w:pPr>
        <w:spacing w:before="240" w:after="240"/>
      </w:pPr>
      <w:r>
        <w:t xml:space="preserve">To balance dataset scale and annotation quality, we combine these three datasets in the training pipeline. Since the financial-sentiment-analysis dataset is significantly larger than the other datasets, we apply </w:t>
      </w:r>
      <w:r>
        <w:rPr>
          <w:b/>
          <w:bCs/>
        </w:rPr>
        <w:t>proportional sampling</w:t>
      </w:r>
      <w:r>
        <w:t xml:space="preserve"> to prevent the large dataset from overwhelming the high-quality expert-annotated data from FPB.</w:t>
      </w:r>
    </w:p>
    <w:p w14:paraId="0A8B89AA" w14:textId="77777777" w:rsidR="00CC2974" w:rsidRDefault="00000000">
      <w:pPr>
        <w:spacing w:before="240" w:after="240"/>
      </w:pPr>
      <w:r>
        <w:t xml:space="preserve">This strategy allows us to leverage the </w:t>
      </w:r>
      <w:r>
        <w:rPr>
          <w:b/>
          <w:bCs/>
        </w:rPr>
        <w:t>large-scale coverage of financial texts</w:t>
      </w:r>
      <w:r>
        <w:t xml:space="preserve"> while maintaining the </w:t>
      </w:r>
      <w:r>
        <w:rPr>
          <w:b/>
          <w:bCs/>
        </w:rPr>
        <w:t>reliability of expert annotations</w:t>
      </w:r>
      <w:r>
        <w:t xml:space="preserve"> and incorporating </w:t>
      </w:r>
      <w:r>
        <w:rPr>
          <w:b/>
          <w:bCs/>
        </w:rPr>
        <w:t>stock movement prediction signals</w:t>
      </w:r>
      <w:r>
        <w:t xml:space="preserve"> for broader financial reasoning capability.</w:t>
      </w:r>
    </w:p>
    <w:p w14:paraId="262CF47C" w14:textId="77777777" w:rsidR="00CC2974" w:rsidRDefault="00000000">
      <w:pPr>
        <w:spacing w:before="240" w:after="240"/>
      </w:pPr>
      <w:r>
        <w:t>Table 1 summarizes the statistics of the final processed dataset used in this study.</w:t>
      </w:r>
    </w:p>
    <w:p w14:paraId="25ABF597" w14:textId="77777777" w:rsidR="00CC2974" w:rsidRDefault="00000000">
      <w:pPr>
        <w:spacing w:after="160"/>
      </w:pPr>
      <w:r>
        <w:t>After preprocessing, the sentiment datasets are summarized as follows:</w:t>
      </w:r>
    </w:p>
    <w:p w14:paraId="50F972B4" w14:textId="77777777" w:rsidR="00CC2974" w:rsidRDefault="00CC2974">
      <w:pPr>
        <w:spacing w:after="80"/>
      </w:pPr>
    </w:p>
    <w:tbl>
      <w:tblPr>
        <w:tblStyle w:val="aa"/>
        <w:tblW w:w="5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0"/>
        <w:gridCol w:w="1880"/>
        <w:gridCol w:w="1175"/>
        <w:gridCol w:w="1265"/>
      </w:tblGrid>
      <w:tr w:rsidR="00CC2974" w14:paraId="6036D405" w14:textId="77777777">
        <w:trPr>
          <w:trHeight w:val="575"/>
        </w:trPr>
        <w:tc>
          <w:tcPr>
            <w:tcW w:w="800" w:type="dxa"/>
            <w:tcBorders>
              <w:top w:val="nil"/>
              <w:left w:val="nil"/>
              <w:bottom w:val="nil"/>
              <w:right w:val="nil"/>
            </w:tcBorders>
            <w:tcMar>
              <w:top w:w="100" w:type="dxa"/>
              <w:left w:w="100" w:type="dxa"/>
              <w:bottom w:w="100" w:type="dxa"/>
              <w:right w:w="100" w:type="dxa"/>
            </w:tcMar>
          </w:tcPr>
          <w:p w14:paraId="0CB23CDC" w14:textId="77777777" w:rsidR="00CC2974" w:rsidRDefault="00000000">
            <w:pPr>
              <w:spacing w:after="80"/>
              <w:jc w:val="center"/>
            </w:pPr>
            <w:r>
              <w:rPr>
                <w:b/>
                <w:bCs/>
              </w:rPr>
              <w:t>Split</w:t>
            </w:r>
          </w:p>
        </w:tc>
        <w:tc>
          <w:tcPr>
            <w:tcW w:w="1880" w:type="dxa"/>
            <w:tcBorders>
              <w:top w:val="nil"/>
              <w:left w:val="nil"/>
              <w:bottom w:val="nil"/>
              <w:right w:val="nil"/>
            </w:tcBorders>
            <w:tcMar>
              <w:top w:w="100" w:type="dxa"/>
              <w:left w:w="100" w:type="dxa"/>
              <w:bottom w:w="100" w:type="dxa"/>
              <w:right w:w="100" w:type="dxa"/>
            </w:tcMar>
          </w:tcPr>
          <w:p w14:paraId="2CD572C1" w14:textId="77777777" w:rsidR="00CC2974" w:rsidRDefault="00000000">
            <w:pPr>
              <w:spacing w:after="80"/>
              <w:jc w:val="center"/>
            </w:pPr>
            <w:r>
              <w:rPr>
                <w:b/>
                <w:bCs/>
              </w:rPr>
              <w:t>Total Samples</w:t>
            </w:r>
          </w:p>
        </w:tc>
        <w:tc>
          <w:tcPr>
            <w:tcW w:w="1175" w:type="dxa"/>
            <w:tcBorders>
              <w:top w:val="nil"/>
              <w:left w:val="nil"/>
              <w:bottom w:val="nil"/>
              <w:right w:val="nil"/>
            </w:tcBorders>
            <w:tcMar>
              <w:top w:w="100" w:type="dxa"/>
              <w:left w:w="100" w:type="dxa"/>
              <w:bottom w:w="100" w:type="dxa"/>
              <w:right w:w="100" w:type="dxa"/>
            </w:tcMar>
          </w:tcPr>
          <w:p w14:paraId="13A01DBF" w14:textId="77777777" w:rsidR="00CC2974" w:rsidRDefault="00000000">
            <w:pPr>
              <w:spacing w:after="80"/>
              <w:jc w:val="center"/>
            </w:pPr>
            <w:r>
              <w:rPr>
                <w:b/>
                <w:bCs/>
              </w:rPr>
              <w:t>Positive</w:t>
            </w:r>
          </w:p>
        </w:tc>
        <w:tc>
          <w:tcPr>
            <w:tcW w:w="1265" w:type="dxa"/>
            <w:tcBorders>
              <w:top w:val="nil"/>
              <w:left w:val="nil"/>
              <w:bottom w:val="nil"/>
              <w:right w:val="nil"/>
            </w:tcBorders>
            <w:tcMar>
              <w:top w:w="100" w:type="dxa"/>
              <w:left w:w="100" w:type="dxa"/>
              <w:bottom w:w="100" w:type="dxa"/>
              <w:right w:w="100" w:type="dxa"/>
            </w:tcMar>
          </w:tcPr>
          <w:p w14:paraId="00A1F4BE" w14:textId="77777777" w:rsidR="00CC2974" w:rsidRDefault="00000000">
            <w:pPr>
              <w:spacing w:after="80"/>
              <w:jc w:val="center"/>
            </w:pPr>
            <w:r>
              <w:rPr>
                <w:b/>
                <w:bCs/>
              </w:rPr>
              <w:t>Negative</w:t>
            </w:r>
          </w:p>
        </w:tc>
      </w:tr>
      <w:tr w:rsidR="00CC2974" w14:paraId="2B9B3322" w14:textId="77777777">
        <w:trPr>
          <w:trHeight w:val="575"/>
        </w:trPr>
        <w:tc>
          <w:tcPr>
            <w:tcW w:w="800" w:type="dxa"/>
            <w:tcBorders>
              <w:top w:val="nil"/>
              <w:left w:val="nil"/>
              <w:bottom w:val="nil"/>
              <w:right w:val="nil"/>
            </w:tcBorders>
            <w:tcMar>
              <w:top w:w="100" w:type="dxa"/>
              <w:left w:w="100" w:type="dxa"/>
              <w:bottom w:w="100" w:type="dxa"/>
              <w:right w:w="100" w:type="dxa"/>
            </w:tcMar>
          </w:tcPr>
          <w:p w14:paraId="3270AA19" w14:textId="77777777" w:rsidR="00CC2974" w:rsidRDefault="00000000">
            <w:pPr>
              <w:spacing w:after="80"/>
            </w:pPr>
            <w:r>
              <w:t>Train</w:t>
            </w:r>
          </w:p>
        </w:tc>
        <w:tc>
          <w:tcPr>
            <w:tcW w:w="1880" w:type="dxa"/>
            <w:tcBorders>
              <w:top w:val="nil"/>
              <w:left w:val="nil"/>
              <w:bottom w:val="nil"/>
              <w:right w:val="nil"/>
            </w:tcBorders>
            <w:tcMar>
              <w:top w:w="100" w:type="dxa"/>
              <w:left w:w="100" w:type="dxa"/>
              <w:bottom w:w="100" w:type="dxa"/>
              <w:right w:w="100" w:type="dxa"/>
            </w:tcMar>
          </w:tcPr>
          <w:p w14:paraId="273A3DB3" w14:textId="77777777" w:rsidR="00CC2974" w:rsidRDefault="00000000">
            <w:pPr>
              <w:spacing w:after="80"/>
            </w:pPr>
            <w:r>
              <w:t>63,395</w:t>
            </w:r>
          </w:p>
        </w:tc>
        <w:tc>
          <w:tcPr>
            <w:tcW w:w="1175" w:type="dxa"/>
            <w:tcBorders>
              <w:top w:val="nil"/>
              <w:left w:val="nil"/>
              <w:bottom w:val="nil"/>
              <w:right w:val="nil"/>
            </w:tcBorders>
            <w:tcMar>
              <w:top w:w="100" w:type="dxa"/>
              <w:left w:w="100" w:type="dxa"/>
              <w:bottom w:w="100" w:type="dxa"/>
              <w:right w:w="100" w:type="dxa"/>
            </w:tcMar>
          </w:tcPr>
          <w:p w14:paraId="005DD3D9" w14:textId="77777777" w:rsidR="00CC2974" w:rsidRDefault="00000000">
            <w:pPr>
              <w:spacing w:after="80"/>
            </w:pPr>
            <w:r>
              <w:t>41,211</w:t>
            </w:r>
          </w:p>
        </w:tc>
        <w:tc>
          <w:tcPr>
            <w:tcW w:w="1265" w:type="dxa"/>
            <w:tcBorders>
              <w:top w:val="nil"/>
              <w:left w:val="nil"/>
              <w:bottom w:val="nil"/>
              <w:right w:val="nil"/>
            </w:tcBorders>
            <w:tcMar>
              <w:top w:w="100" w:type="dxa"/>
              <w:left w:w="100" w:type="dxa"/>
              <w:bottom w:w="100" w:type="dxa"/>
              <w:right w:w="100" w:type="dxa"/>
            </w:tcMar>
          </w:tcPr>
          <w:p w14:paraId="2A94DAD0" w14:textId="77777777" w:rsidR="00CC2974" w:rsidRDefault="00000000">
            <w:pPr>
              <w:spacing w:after="80"/>
            </w:pPr>
            <w:r>
              <w:t>22,184</w:t>
            </w:r>
          </w:p>
        </w:tc>
      </w:tr>
      <w:tr w:rsidR="00CC2974" w14:paraId="619F6469" w14:textId="77777777">
        <w:trPr>
          <w:trHeight w:val="575"/>
        </w:trPr>
        <w:tc>
          <w:tcPr>
            <w:tcW w:w="800" w:type="dxa"/>
            <w:tcBorders>
              <w:top w:val="nil"/>
              <w:left w:val="nil"/>
              <w:bottom w:val="nil"/>
              <w:right w:val="nil"/>
            </w:tcBorders>
            <w:tcMar>
              <w:top w:w="100" w:type="dxa"/>
              <w:left w:w="100" w:type="dxa"/>
              <w:bottom w:w="100" w:type="dxa"/>
              <w:right w:w="100" w:type="dxa"/>
            </w:tcMar>
          </w:tcPr>
          <w:p w14:paraId="7C0571D8" w14:textId="77777777" w:rsidR="00CC2974" w:rsidRDefault="00000000">
            <w:pPr>
              <w:spacing w:after="80"/>
            </w:pPr>
            <w:r>
              <w:t>Test</w:t>
            </w:r>
          </w:p>
        </w:tc>
        <w:tc>
          <w:tcPr>
            <w:tcW w:w="1880" w:type="dxa"/>
            <w:tcBorders>
              <w:top w:val="nil"/>
              <w:left w:val="nil"/>
              <w:bottom w:val="nil"/>
              <w:right w:val="nil"/>
            </w:tcBorders>
            <w:tcMar>
              <w:top w:w="100" w:type="dxa"/>
              <w:left w:w="100" w:type="dxa"/>
              <w:bottom w:w="100" w:type="dxa"/>
              <w:right w:w="100" w:type="dxa"/>
            </w:tcMar>
          </w:tcPr>
          <w:p w14:paraId="77ED6B25" w14:textId="77777777" w:rsidR="00CC2974" w:rsidRDefault="00000000">
            <w:pPr>
              <w:spacing w:after="80"/>
            </w:pPr>
            <w:r>
              <w:t>7,979</w:t>
            </w:r>
          </w:p>
        </w:tc>
        <w:tc>
          <w:tcPr>
            <w:tcW w:w="1175" w:type="dxa"/>
            <w:tcBorders>
              <w:top w:val="nil"/>
              <w:left w:val="nil"/>
              <w:bottom w:val="nil"/>
              <w:right w:val="nil"/>
            </w:tcBorders>
            <w:tcMar>
              <w:top w:w="100" w:type="dxa"/>
              <w:left w:w="100" w:type="dxa"/>
              <w:bottom w:w="100" w:type="dxa"/>
              <w:right w:w="100" w:type="dxa"/>
            </w:tcMar>
          </w:tcPr>
          <w:p w14:paraId="6A34580F" w14:textId="77777777" w:rsidR="00CC2974" w:rsidRDefault="00000000">
            <w:pPr>
              <w:spacing w:after="80"/>
            </w:pPr>
            <w:r>
              <w:t>5,235</w:t>
            </w:r>
          </w:p>
        </w:tc>
        <w:tc>
          <w:tcPr>
            <w:tcW w:w="1265" w:type="dxa"/>
            <w:tcBorders>
              <w:top w:val="nil"/>
              <w:left w:val="nil"/>
              <w:bottom w:val="nil"/>
              <w:right w:val="nil"/>
            </w:tcBorders>
            <w:tcMar>
              <w:top w:w="100" w:type="dxa"/>
              <w:left w:w="100" w:type="dxa"/>
              <w:bottom w:w="100" w:type="dxa"/>
              <w:right w:w="100" w:type="dxa"/>
            </w:tcMar>
          </w:tcPr>
          <w:p w14:paraId="75232DC2" w14:textId="77777777" w:rsidR="00CC2974" w:rsidRDefault="00000000">
            <w:pPr>
              <w:spacing w:after="80"/>
            </w:pPr>
            <w:r>
              <w:t>2,744</w:t>
            </w:r>
          </w:p>
        </w:tc>
      </w:tr>
    </w:tbl>
    <w:p w14:paraId="3ADBF06E" w14:textId="77777777" w:rsidR="00CC2974" w:rsidRDefault="00CC2974">
      <w:pPr>
        <w:spacing w:after="80"/>
      </w:pPr>
    </w:p>
    <w:p w14:paraId="22A36F19" w14:textId="77777777" w:rsidR="00CC2974" w:rsidRDefault="00000000">
      <w:pPr>
        <w:spacing w:after="160"/>
        <w:rPr>
          <w:i/>
          <w:iCs/>
        </w:rPr>
      </w:pPr>
      <w:r>
        <w:rPr>
          <w:i/>
          <w:iCs/>
        </w:rPr>
        <w:t>Table 1 summarizes the statistics of the three datasets used in this study.</w:t>
      </w:r>
    </w:p>
    <w:p w14:paraId="72E9E254" w14:textId="77777777" w:rsidR="00CC2974" w:rsidRDefault="00000000">
      <w:pPr>
        <w:pStyle w:val="2"/>
      </w:pPr>
      <w:r>
        <w:t>Motivation for Dataset Choice</w:t>
      </w:r>
    </w:p>
    <w:p w14:paraId="119C9EF7" w14:textId="77777777" w:rsidR="00CC2974" w:rsidRDefault="00000000">
      <w:pPr>
        <w:spacing w:after="80"/>
      </w:pPr>
      <w:r>
        <w:t xml:space="preserve">To complement this large-scale dataset, we also incorporate Financial PhraseBank (FPB), a high-quality benchmark dataset annotated by financial experts with 100% inter-annotator agreement. In addition, we include the FLARE-SM-ACL dataset, which </w:t>
      </w:r>
      <w:r>
        <w:lastRenderedPageBreak/>
        <w:t>focuses on text-driven stock movement prediction and provides a challenging benchmark for evaluating financial reasoning ability.</w:t>
      </w:r>
    </w:p>
    <w:p w14:paraId="408B132B" w14:textId="77777777" w:rsidR="00CC2974" w:rsidRDefault="00CC2974">
      <w:pPr>
        <w:spacing w:after="80"/>
      </w:pPr>
    </w:p>
    <w:p w14:paraId="326B1D42" w14:textId="77777777" w:rsidR="00CC2974" w:rsidRDefault="00000000">
      <w:pPr>
        <w:spacing w:after="80"/>
      </w:pPr>
      <w:r>
        <w:t>By integrating these three datasets, we balance dataset scale, annotation reliability, and task diversity, enabling the model to learn both financial sentiment understanding and stock movement prediction capabilities.</w:t>
      </w:r>
    </w:p>
    <w:p w14:paraId="524E2F23" w14:textId="77777777" w:rsidR="00CC2974" w:rsidRDefault="00000000">
      <w:pPr>
        <w:pStyle w:val="1"/>
      </w:pPr>
      <w:r>
        <w:t>3. Related Work</w:t>
      </w:r>
    </w:p>
    <w:p w14:paraId="1C733A78" w14:textId="77777777" w:rsidR="00CC2974" w:rsidRDefault="00000000">
      <w:pPr>
        <w:pStyle w:val="2"/>
      </w:pPr>
      <w:r>
        <w:t>3.1 Existing Methods for Financial NLP</w:t>
      </w:r>
    </w:p>
    <w:p w14:paraId="0B96BE87" w14:textId="77777777" w:rsidR="00CC2974" w:rsidRDefault="00000000">
      <w:pPr>
        <w:spacing w:after="160"/>
      </w:pPr>
      <w:r>
        <w:rPr>
          <w:rFonts w:eastAsia="Arial"/>
        </w:rPr>
        <w:t>Early approaches to financial sentiment analysis relied on lexicon-based methods (e.g., Loughran-McDonald dictionary) and traditional ML classifiers (SVM, logistic regression). FinBERT (Araci, 2019) was a landmark work that fine-tuned BERT specifically on financial texts, establishing a strong baseline for financial NLP. BloombergGPT (Wu et al., 2023) demonstrated the value of large-scale financial pre-training but required enormous proprietary data resources.</w:t>
      </w:r>
    </w:p>
    <w:p w14:paraId="3117E59C" w14:textId="77777777" w:rsidR="00CC2974" w:rsidRDefault="00CC2974">
      <w:pPr>
        <w:spacing w:after="80"/>
      </w:pPr>
    </w:p>
    <w:p w14:paraId="7CD05DB9" w14:textId="77777777" w:rsidR="00CC2974" w:rsidRDefault="00000000">
      <w:pPr>
        <w:pStyle w:val="2"/>
      </w:pPr>
      <w:r>
        <w:t>3.2 State-of-the-Art Methods</w:t>
      </w:r>
    </w:p>
    <w:p w14:paraId="60A86A0E" w14:textId="77777777" w:rsidR="00CC2974" w:rsidRDefault="00000000">
      <w:pPr>
        <w:spacing w:after="160"/>
      </w:pPr>
      <w:r>
        <w:rPr>
          <w:rFonts w:eastAsia="Arial"/>
        </w:rPr>
        <w:t>Recent state-of-the-art approaches center on instruction-tuned financial LLMs. PIXIU (Xie et al., 2023) introduced a comprehensive financial instruction-following benchmark (FinBen) and fine-tuned LLaMA on diverse financial tasks. FinMA and related models achieved strong results by combining supervised fine-tuning with diverse financial task coverage. These works establish the Open FinLLM Leaderboard as the standard evaluation framework, which we adopt for our evaluation.</w:t>
      </w:r>
    </w:p>
    <w:p w14:paraId="37F991D9" w14:textId="77777777" w:rsidR="00CC2974" w:rsidRDefault="00CC2974">
      <w:pPr>
        <w:spacing w:after="80"/>
      </w:pPr>
    </w:p>
    <w:p w14:paraId="7C5D07D9" w14:textId="77777777" w:rsidR="00CC2974" w:rsidRDefault="00000000">
      <w:pPr>
        <w:pStyle w:val="2"/>
      </w:pPr>
      <w:r>
        <w:t>3.3 How Our Approach Is Similar</w:t>
      </w:r>
    </w:p>
    <w:p w14:paraId="1802FDC1" w14:textId="77777777" w:rsidR="00CC2974" w:rsidRDefault="00000000">
      <w:pPr>
        <w:spacing w:after="160"/>
      </w:pPr>
      <w:r>
        <w:rPr>
          <w:rFonts w:eastAsia="Arial"/>
        </w:rPr>
        <w:t>Like PIXIU and FinMA, we adopt a supervised fine-tuning paradigm on publicly available financial datasets and evaluate on the Open FinLLM Leaderboard with standardized metrics. We also employ parameter-efficient fine-tuning (LoRA) as is common in recent financial LLM work.</w:t>
      </w:r>
    </w:p>
    <w:p w14:paraId="45CD9A92" w14:textId="77777777" w:rsidR="00CC2974" w:rsidRDefault="00CC2974">
      <w:pPr>
        <w:spacing w:after="80"/>
      </w:pPr>
    </w:p>
    <w:p w14:paraId="7BAFBB7C" w14:textId="77777777" w:rsidR="00CC2974" w:rsidRDefault="00000000">
      <w:pPr>
        <w:pStyle w:val="2"/>
      </w:pPr>
      <w:r>
        <w:t>3.4 How Our Approach Differs</w:t>
      </w:r>
    </w:p>
    <w:p w14:paraId="1FB88C32" w14:textId="77777777" w:rsidR="00CC2974" w:rsidRDefault="00000000">
      <w:pPr>
        <w:spacing w:after="160"/>
      </w:pPr>
      <w:r>
        <w:rPr>
          <w:rFonts w:eastAsia="Arial"/>
        </w:rPr>
        <w:t>While existing work emphasizes broad benchmark coverage across many financial tasks, our approach is deliberately focused on the semantic connection between financial sentiment and stock price movement. We further differentiate by incorporating Chain-of-Thought reasoning data in the &lt;think&gt;...&lt;/think&gt; format, motivated by recent findings (Ou et al., 2025) that long CoT SFT is essential for developing reasoning capabilities in lightweight models. This interpretability-focused training is absent from prior financial LLM work.</w:t>
      </w:r>
    </w:p>
    <w:p w14:paraId="05E70F4B" w14:textId="77777777" w:rsidR="00CC2974" w:rsidRDefault="00000000">
      <w:pPr>
        <w:pStyle w:val="1"/>
      </w:pPr>
      <w:r>
        <w:lastRenderedPageBreak/>
        <w:t>4. Preliminary Experimental Results</w:t>
      </w:r>
    </w:p>
    <w:p w14:paraId="0C425B69" w14:textId="77777777" w:rsidR="00CC2974" w:rsidRDefault="00000000">
      <w:pPr>
        <w:pStyle w:val="2"/>
      </w:pPr>
      <w:r>
        <w:t>4.1 Milestones Achieved</w:t>
      </w:r>
    </w:p>
    <w:p w14:paraId="68B9703B" w14:textId="77777777" w:rsidR="00CC2974" w:rsidRDefault="00000000">
      <w:pPr>
        <w:numPr>
          <w:ilvl w:val="0"/>
          <w:numId w:val="1"/>
        </w:numPr>
        <w:pBdr>
          <w:top w:val="nil"/>
          <w:left w:val="nil"/>
          <w:bottom w:val="nil"/>
          <w:right w:val="nil"/>
          <w:between w:val="nil"/>
        </w:pBdr>
        <w:spacing w:after="100"/>
      </w:pPr>
      <w:r>
        <w:rPr>
          <w:rFonts w:eastAsia="Arial"/>
          <w:color w:val="000000"/>
        </w:rPr>
        <w:t>Dataset acquisition: Successfully downloaded and loaded both FPB and DS2 datasets from Hugging Face in a local Jupyter environment.</w:t>
      </w:r>
    </w:p>
    <w:p w14:paraId="2D138444" w14:textId="77777777" w:rsidR="00CC2974" w:rsidRDefault="00000000">
      <w:pPr>
        <w:numPr>
          <w:ilvl w:val="0"/>
          <w:numId w:val="1"/>
        </w:numPr>
        <w:pBdr>
          <w:top w:val="nil"/>
          <w:left w:val="nil"/>
          <w:bottom w:val="nil"/>
          <w:right w:val="nil"/>
          <w:between w:val="nil"/>
        </w:pBdr>
        <w:spacing w:after="100"/>
      </w:pPr>
      <w:r>
        <w:rPr>
          <w:rFonts w:eastAsia="Arial"/>
          <w:color w:val="000000"/>
        </w:rPr>
        <w:t>Label verification: Manually verified label mappings for both datasets by inspecting sample texts against their labels, confirming DS2 label mapping (0=neutral, 1=positive, 2=negative) and FPB label_text field.</w:t>
      </w:r>
    </w:p>
    <w:p w14:paraId="60C5EFB4" w14:textId="77777777" w:rsidR="00CC2974" w:rsidRDefault="00000000">
      <w:pPr>
        <w:numPr>
          <w:ilvl w:val="0"/>
          <w:numId w:val="1"/>
        </w:numPr>
        <w:pBdr>
          <w:top w:val="nil"/>
          <w:left w:val="nil"/>
          <w:bottom w:val="nil"/>
          <w:right w:val="nil"/>
          <w:between w:val="nil"/>
        </w:pBdr>
        <w:spacing w:after="100"/>
      </w:pPr>
      <w:r>
        <w:rPr>
          <w:rFonts w:eastAsia="Arial"/>
          <w:color w:val="000000"/>
        </w:rPr>
        <w:t>Data formatting: Converted both datasets into unified instruction-following format with fields: instruction, input, output, source.</w:t>
      </w:r>
    </w:p>
    <w:p w14:paraId="2489C5C7" w14:textId="77777777" w:rsidR="00CC2974" w:rsidRDefault="00000000">
      <w:pPr>
        <w:numPr>
          <w:ilvl w:val="0"/>
          <w:numId w:val="1"/>
        </w:numPr>
        <w:pBdr>
          <w:top w:val="nil"/>
          <w:left w:val="nil"/>
          <w:bottom w:val="nil"/>
          <w:right w:val="nil"/>
          <w:between w:val="nil"/>
        </w:pBdr>
        <w:spacing w:after="100"/>
      </w:pPr>
      <w:r>
        <w:rPr>
          <w:rFonts w:eastAsia="Arial"/>
          <w:color w:val="000000"/>
        </w:rPr>
        <w:t>Dataset merging: Merged FPB and DS2 into a single training set (81,040 samples) and test set (10,257 samples), with test set reserved exclusively for final evaluation.</w:t>
      </w:r>
    </w:p>
    <w:p w14:paraId="547520A9" w14:textId="77777777" w:rsidR="00CC2974" w:rsidRDefault="00000000">
      <w:pPr>
        <w:numPr>
          <w:ilvl w:val="0"/>
          <w:numId w:val="1"/>
        </w:numPr>
        <w:pBdr>
          <w:top w:val="nil"/>
          <w:left w:val="nil"/>
          <w:bottom w:val="nil"/>
          <w:right w:val="nil"/>
          <w:between w:val="nil"/>
        </w:pBdr>
        <w:spacing w:after="100"/>
      </w:pPr>
      <w:r>
        <w:rPr>
          <w:rFonts w:eastAsia="Arial"/>
          <w:color w:val="000000"/>
        </w:rPr>
        <w:t>CoT format design: Designed the CoT output format using &lt;think&gt;...&lt;/think&gt; structured reasoning tags, consistent with DeepSeek-R1 style reasoning chains.</w:t>
      </w:r>
    </w:p>
    <w:p w14:paraId="2C72C42B" w14:textId="77777777" w:rsidR="00CC2974" w:rsidRDefault="00000000">
      <w:pPr>
        <w:numPr>
          <w:ilvl w:val="0"/>
          <w:numId w:val="1"/>
        </w:numPr>
        <w:pBdr>
          <w:top w:val="nil"/>
          <w:left w:val="nil"/>
          <w:bottom w:val="nil"/>
          <w:right w:val="nil"/>
          <w:between w:val="nil"/>
        </w:pBdr>
        <w:spacing w:after="100"/>
      </w:pPr>
      <w:r>
        <w:rPr>
          <w:rFonts w:eastAsia="Arial"/>
          <w:color w:val="000000"/>
        </w:rPr>
        <w:t>Pipeline code: Completed data preprocessing scripts in Jupyter Notebook, ready for upload to the Great Lakes HPC cluster.</w:t>
      </w:r>
    </w:p>
    <w:p w14:paraId="49DC781E" w14:textId="77777777" w:rsidR="00CC2974" w:rsidRDefault="00000000">
      <w:pPr>
        <w:numPr>
          <w:ilvl w:val="0"/>
          <w:numId w:val="1"/>
        </w:numPr>
        <w:spacing w:after="100"/>
      </w:pPr>
      <w:r>
        <w:t>Model acquisition: Successfully downloaded and localized the pre-trained base model from Hugging Face, ensuring compatibility with the Great Lakes HPC environment.</w:t>
      </w:r>
    </w:p>
    <w:p w14:paraId="29F8F037" w14:textId="77777777" w:rsidR="00CC2974" w:rsidRDefault="00000000">
      <w:pPr>
        <w:numPr>
          <w:ilvl w:val="0"/>
          <w:numId w:val="1"/>
        </w:numPr>
        <w:spacing w:after="100"/>
      </w:pPr>
      <w:r>
        <w:t>Data tokenization: Developed a tokenization pipeline to process the unified dataset, incorporating padding and truncation strategies to optimize GPU memory utilization during training.</w:t>
      </w:r>
    </w:p>
    <w:p w14:paraId="4E24353D" w14:textId="77777777" w:rsidR="00CC2974" w:rsidRDefault="00000000">
      <w:pPr>
        <w:numPr>
          <w:ilvl w:val="0"/>
          <w:numId w:val="1"/>
        </w:numPr>
        <w:spacing w:after="100"/>
      </w:pPr>
      <w:r>
        <w:t>Configuration &amp; QLoRA setup: Finalized the training hyperparameters and integrated the QLoRA algorithm, including the configuration of 4-bit NF4 quantization and low-rank adapters.</w:t>
      </w:r>
    </w:p>
    <w:p w14:paraId="5E1B3508" w14:textId="77777777" w:rsidR="00CC2974" w:rsidRDefault="00CC2974">
      <w:pPr>
        <w:pBdr>
          <w:top w:val="nil"/>
          <w:left w:val="nil"/>
          <w:bottom w:val="nil"/>
          <w:right w:val="nil"/>
          <w:between w:val="nil"/>
        </w:pBdr>
        <w:spacing w:after="100"/>
      </w:pPr>
    </w:p>
    <w:p w14:paraId="54CE65DF" w14:textId="77777777" w:rsidR="00CC2974" w:rsidRDefault="00CC2974">
      <w:pPr>
        <w:spacing w:after="80"/>
      </w:pPr>
    </w:p>
    <w:p w14:paraId="0D27006B" w14:textId="77777777" w:rsidR="00CC2974" w:rsidRDefault="00000000">
      <w:pPr>
        <w:pStyle w:val="2"/>
      </w:pPr>
      <w:r>
        <w:t>4.2 How These Results Support Our Claim</w:t>
      </w:r>
    </w:p>
    <w:p w14:paraId="2C47CBA2" w14:textId="77777777" w:rsidR="00CC2974" w:rsidRDefault="00000000">
      <w:pPr>
        <w:spacing w:after="160"/>
      </w:pPr>
      <w:r>
        <w:rPr>
          <w:rFonts w:eastAsia="Arial"/>
        </w:rPr>
        <w:t>The successful construction of a clean, well-labeled, and format-unified dataset of 81,040 training samples is a critical prerequisite for effective fine-tuning. The label distribution (roughly 51% positive, 27% negative, 22% neutral) is reasonably balanced and consistent across train and test splits, reducing the risk of systematic bias in evaluation. The adoption of the structured CoT format positions our training data for Stage 2 fine-tuning that directly targets reasoning capability — a design choice empirically validated by Ou et al. (2025).</w:t>
      </w:r>
    </w:p>
    <w:p w14:paraId="595BD99F" w14:textId="77777777" w:rsidR="00CC2974" w:rsidRDefault="00CC2974">
      <w:pPr>
        <w:spacing w:after="80"/>
      </w:pPr>
    </w:p>
    <w:p w14:paraId="33B88573" w14:textId="77777777" w:rsidR="00CC2974" w:rsidRDefault="00000000">
      <w:pPr>
        <w:pStyle w:val="1"/>
      </w:pPr>
      <w:r>
        <w:t>5. Future Milestones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400"/>
        <w:gridCol w:w="6760"/>
      </w:tblGrid>
      <w:tr w:rsidR="00CC2974" w14:paraId="22A2DC73" w14:textId="77777777">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8E45AB4" w14:textId="77777777" w:rsidR="00CC2974" w:rsidRDefault="00000000">
            <w:r>
              <w:rPr>
                <w:rFonts w:eastAsia="Arial"/>
                <w:b/>
                <w:bCs/>
                <w:sz w:val="22"/>
                <w:szCs w:val="22"/>
              </w:rPr>
              <w:lastRenderedPageBreak/>
              <w:t>Week</w:t>
            </w:r>
          </w:p>
        </w:tc>
        <w:tc>
          <w:tcPr>
            <w:tcW w:w="1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B7881A1" w14:textId="77777777" w:rsidR="00CC2974" w:rsidRDefault="00000000">
            <w:r>
              <w:rPr>
                <w:rFonts w:eastAsia="Arial"/>
                <w:b/>
                <w:bCs/>
                <w:sz w:val="22"/>
                <w:szCs w:val="22"/>
              </w:rPr>
              <w:t>Dates</w:t>
            </w:r>
          </w:p>
        </w:tc>
        <w:tc>
          <w:tcPr>
            <w:tcW w:w="67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9120050" w14:textId="77777777" w:rsidR="00CC2974" w:rsidRDefault="00000000">
            <w:r>
              <w:rPr>
                <w:rFonts w:eastAsia="Arial"/>
                <w:b/>
                <w:bCs/>
                <w:sz w:val="22"/>
                <w:szCs w:val="22"/>
              </w:rPr>
              <w:t>Goals</w:t>
            </w:r>
          </w:p>
        </w:tc>
      </w:tr>
      <w:tr w:rsidR="00CC2974" w14:paraId="4E9AF398"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EFE405" w14:textId="77777777" w:rsidR="00CC2974" w:rsidRDefault="00000000">
            <w:r>
              <w:rPr>
                <w:rFonts w:eastAsia="Arial"/>
                <w:sz w:val="22"/>
                <w:szCs w:val="22"/>
              </w:rPr>
              <w:t>Week 1</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0B6F27" w14:textId="77777777" w:rsidR="00CC2974" w:rsidRDefault="00000000">
            <w:r>
              <w:rPr>
                <w:rFonts w:eastAsia="Arial"/>
                <w:sz w:val="22"/>
                <w:szCs w:val="22"/>
              </w:rPr>
              <w:t>Current</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B4151E" w14:textId="77777777" w:rsidR="00CC2974" w:rsidRDefault="00000000">
            <w:r>
              <w:rPr>
                <w:rFonts w:eastAsia="Arial"/>
                <w:sz w:val="22"/>
                <w:szCs w:val="22"/>
              </w:rPr>
              <w:t>Complete CoT data generation using DeepSeek API; upload all data to Great Lakes HPC cluster</w:t>
            </w:r>
          </w:p>
        </w:tc>
      </w:tr>
      <w:tr w:rsidR="00CC2974" w14:paraId="55F040BD"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7FE3F0" w14:textId="77777777" w:rsidR="00CC2974" w:rsidRDefault="00000000">
            <w:r>
              <w:rPr>
                <w:rFonts w:eastAsia="Arial"/>
                <w:sz w:val="22"/>
                <w:szCs w:val="22"/>
              </w:rPr>
              <w:t>Week 2</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58403C" w14:textId="77777777" w:rsidR="00CC2974" w:rsidRDefault="00000000">
            <w:r>
              <w:rPr>
                <w:rFonts w:eastAsia="Arial"/>
                <w:sz w:val="22"/>
                <w:szCs w:val="22"/>
              </w:rPr>
              <w:t>+1 week</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A513AB" w14:textId="77777777" w:rsidR="00CC2974" w:rsidRDefault="00000000">
            <w:r>
              <w:rPr>
                <w:rFonts w:eastAsia="Arial"/>
                <w:sz w:val="22"/>
                <w:szCs w:val="22"/>
              </w:rPr>
              <w:t xml:space="preserve">Set up Singularity container environment on Great Lakes; run Stage 1 SFT (Text-Label) training with LoRA on </w:t>
            </w:r>
            <w:r>
              <w:t>DeepSeek-R1-Distill-Llama-8B</w:t>
            </w:r>
          </w:p>
        </w:tc>
      </w:tr>
      <w:tr w:rsidR="00CC2974" w14:paraId="082F90BD"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F086A5" w14:textId="77777777" w:rsidR="00CC2974" w:rsidRDefault="00000000">
            <w:r>
              <w:rPr>
                <w:rFonts w:eastAsia="Arial"/>
                <w:sz w:val="22"/>
                <w:szCs w:val="22"/>
              </w:rPr>
              <w:t>Week 3</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6A6F0A" w14:textId="77777777" w:rsidR="00CC2974" w:rsidRDefault="00000000">
            <w:r>
              <w:rPr>
                <w:rFonts w:eastAsia="Arial"/>
                <w:sz w:val="22"/>
                <w:szCs w:val="22"/>
              </w:rPr>
              <w:t>+2 weeks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32994A" w14:textId="77777777" w:rsidR="00CC2974" w:rsidRDefault="00000000">
            <w:r>
              <w:rPr>
                <w:rFonts w:eastAsia="Arial"/>
                <w:sz w:val="22"/>
                <w:szCs w:val="22"/>
              </w:rPr>
              <w:t>Run Stage 2 CoT-SFT training; compare Stage 1 vs Stage 2 outputs qualitatively</w:t>
            </w:r>
          </w:p>
        </w:tc>
      </w:tr>
      <w:tr w:rsidR="00CC2974" w14:paraId="27E994FA"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D068DF" w14:textId="77777777" w:rsidR="00CC2974" w:rsidRDefault="00000000">
            <w:r>
              <w:rPr>
                <w:rFonts w:eastAsia="Arial"/>
                <w:sz w:val="22"/>
                <w:szCs w:val="22"/>
              </w:rPr>
              <w:t>Week 4</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53EE0F" w14:textId="77777777" w:rsidR="00CC2974" w:rsidRDefault="00000000">
            <w:r>
              <w:rPr>
                <w:rFonts w:eastAsia="Arial"/>
                <w:sz w:val="22"/>
                <w:szCs w:val="22"/>
              </w:rPr>
              <w:t>+3 weeks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E06E05" w14:textId="77777777" w:rsidR="00CC2974" w:rsidRDefault="00000000">
            <w:r>
              <w:rPr>
                <w:rFonts w:eastAsia="Arial"/>
                <w:sz w:val="22"/>
                <w:szCs w:val="22"/>
              </w:rPr>
              <w:t>Submit both models to Open FinLLM Leaderboard; collect Accuracy, Macro-F1, MCC results</w:t>
            </w:r>
          </w:p>
        </w:tc>
      </w:tr>
      <w:tr w:rsidR="00CC2974" w14:paraId="0E6AEA0E" w14:textId="77777777">
        <w:trPr>
          <w:trHeight w:val="590"/>
        </w:trPr>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050885" w14:textId="77777777" w:rsidR="00CC2974" w:rsidRDefault="00000000">
            <w:pPr>
              <w:rPr>
                <w:sz w:val="22"/>
                <w:szCs w:val="22"/>
              </w:rPr>
            </w:pPr>
            <w:r>
              <w:rPr>
                <w:sz w:val="22"/>
                <w:szCs w:val="22"/>
              </w:rPr>
              <w:t>Week 5</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24BE05" w14:textId="77777777" w:rsidR="00CC2974" w:rsidRDefault="00000000">
            <w:pPr>
              <w:rPr>
                <w:sz w:val="22"/>
                <w:szCs w:val="22"/>
              </w:rPr>
            </w:pPr>
            <w:r>
              <w:rPr>
                <w:sz w:val="22"/>
                <w:szCs w:val="22"/>
              </w:rPr>
              <w:t>+4 weeks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9A8847" w14:textId="77777777" w:rsidR="00CC2974" w:rsidRDefault="00000000">
            <w:pPr>
              <w:rPr>
                <w:sz w:val="22"/>
                <w:szCs w:val="22"/>
              </w:rPr>
            </w:pPr>
            <w:r>
              <w:rPr>
                <w:sz w:val="22"/>
                <w:szCs w:val="22"/>
              </w:rPr>
              <w:t>Make Poster. Finish Application for analyzing daily news for price direction prediction.</w:t>
            </w:r>
          </w:p>
        </w:tc>
      </w:tr>
      <w:tr w:rsidR="00CC2974" w14:paraId="244F98CE"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A1E1E5" w14:textId="77777777" w:rsidR="00CC2974" w:rsidRDefault="00000000">
            <w:r>
              <w:rPr>
                <w:sz w:val="22"/>
                <w:szCs w:val="22"/>
              </w:rPr>
              <w:t>Week 6</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63DA9D" w14:textId="77777777" w:rsidR="00CC2974" w:rsidRDefault="00000000">
            <w:r>
              <w:rPr>
                <w:sz w:val="22"/>
                <w:szCs w:val="22"/>
              </w:rPr>
              <w:t>+5 weeks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C6C3BA" w14:textId="77777777" w:rsidR="00CC2974" w:rsidRDefault="00000000">
            <w:r>
              <w:rPr>
                <w:sz w:val="22"/>
                <w:szCs w:val="22"/>
              </w:rPr>
              <w:t>Interpretability analysis (attention patterns, error analysis); write final report</w:t>
            </w:r>
          </w:p>
        </w:tc>
      </w:tr>
    </w:tbl>
    <w:p w14:paraId="1CA5CF56" w14:textId="77777777" w:rsidR="00CC2974" w:rsidRDefault="00CC2974">
      <w:pPr>
        <w:spacing w:after="80"/>
      </w:pPr>
    </w:p>
    <w:p w14:paraId="200FC812" w14:textId="77777777" w:rsidR="00CC2974" w:rsidRDefault="00000000">
      <w:pPr>
        <w:pStyle w:val="1"/>
      </w:pPr>
      <w:r>
        <w:t>6. Conclusion</w:t>
      </w:r>
    </w:p>
    <w:p w14:paraId="187B2C5D" w14:textId="77777777" w:rsidR="00CC2974" w:rsidRDefault="00000000">
      <w:pPr>
        <w:spacing w:after="160"/>
      </w:pPr>
      <w:r>
        <w:rPr>
          <w:rFonts w:eastAsia="Arial"/>
        </w:rPr>
        <w:t>We have made substantial progress toward our goal of building FinMini, a domain-adapted LLM for financial sentiment analysis and stock movement prediction. Our data pipeline is complete, producing a unified training set of 81,040 samples from two complementary financial datasets. We have also designed the CoT reasoning format that will be used in Stage 2 training to improve model interpretability and reasoning quality.</w:t>
      </w:r>
    </w:p>
    <w:p w14:paraId="4861ACBF" w14:textId="77777777" w:rsidR="00CC2974" w:rsidRDefault="00000000">
      <w:pPr>
        <w:spacing w:after="160"/>
      </w:pPr>
      <w:r>
        <w:rPr>
          <w:rFonts w:eastAsia="Arial"/>
        </w:rPr>
        <w:t>For the final project, we expect to demonstrate that: (1) SFT on domain-specific financial data improves sentiment analysis accuracy over the base model on Open FinLLM Leaderboard benchmarks, and (2) CoT-SFT further improves performance and produces more coherent, interpretable reasoning chains. We aim to achieve competitive performance relative to strong open-source baselines such as DeepSeek and GPT-family models reported on the leaderboard.</w:t>
      </w:r>
    </w:p>
    <w:p w14:paraId="662D07BB" w14:textId="77777777" w:rsidR="00CC2974" w:rsidRDefault="00CC2974">
      <w:pPr>
        <w:spacing w:after="80"/>
      </w:pPr>
    </w:p>
    <w:p w14:paraId="688E83CC" w14:textId="77777777" w:rsidR="00CC2974" w:rsidRDefault="00000000">
      <w:pPr>
        <w:pStyle w:val="1"/>
      </w:pPr>
      <w:r>
        <w:t>Author Contributions</w:t>
      </w:r>
    </w:p>
    <w:p w14:paraId="3E631468" w14:textId="77777777" w:rsidR="00CC2974" w:rsidRDefault="00000000">
      <w:pPr>
        <w:spacing w:after="160"/>
      </w:pPr>
      <w:r>
        <w:rPr>
          <w:rFonts w:eastAsia="Arial"/>
        </w:rPr>
        <w:t>Please replace with your team's actual contributions per the course guideline on "Contribution of each team member".</w:t>
      </w:r>
    </w:p>
    <w:p w14:paraId="7A12B7D0" w14:textId="77777777" w:rsidR="00CC2974" w:rsidRDefault="00000000">
      <w:pPr>
        <w:numPr>
          <w:ilvl w:val="0"/>
          <w:numId w:val="1"/>
        </w:numPr>
        <w:pBdr>
          <w:top w:val="nil"/>
          <w:left w:val="nil"/>
          <w:bottom w:val="nil"/>
          <w:right w:val="nil"/>
          <w:between w:val="nil"/>
        </w:pBdr>
        <w:spacing w:after="100"/>
      </w:pPr>
      <w:r>
        <w:rPr>
          <w:rFonts w:eastAsia="Arial"/>
          <w:color w:val="000000"/>
        </w:rPr>
        <w:t>[</w:t>
      </w:r>
      <w:r>
        <w:t>YiXiangFei,YueYu</w:t>
      </w:r>
      <w:r>
        <w:rPr>
          <w:rFonts w:eastAsia="Arial"/>
          <w:color w:val="000000"/>
        </w:rPr>
        <w:t>]: Dataset collection, label verification, data formatting pipeline</w:t>
      </w:r>
    </w:p>
    <w:p w14:paraId="3B22A531" w14:textId="77777777" w:rsidR="00CC2974" w:rsidRDefault="00000000">
      <w:pPr>
        <w:numPr>
          <w:ilvl w:val="0"/>
          <w:numId w:val="1"/>
        </w:numPr>
        <w:pBdr>
          <w:top w:val="nil"/>
          <w:left w:val="nil"/>
          <w:bottom w:val="nil"/>
          <w:right w:val="nil"/>
          <w:between w:val="nil"/>
        </w:pBdr>
        <w:spacing w:after="100"/>
      </w:pPr>
      <w:r>
        <w:rPr>
          <w:rFonts w:eastAsia="Arial"/>
          <w:color w:val="000000"/>
        </w:rPr>
        <w:t>[</w:t>
      </w:r>
      <w:r>
        <w:t>YueYu,JiaYiZhang</w:t>
      </w:r>
      <w:r>
        <w:rPr>
          <w:rFonts w:eastAsia="Arial"/>
          <w:color w:val="000000"/>
        </w:rPr>
        <w:t>]: CoT data generation design, API integration</w:t>
      </w:r>
    </w:p>
    <w:p w14:paraId="3B282197" w14:textId="77777777" w:rsidR="00CC2974" w:rsidRDefault="00000000">
      <w:pPr>
        <w:numPr>
          <w:ilvl w:val="0"/>
          <w:numId w:val="1"/>
        </w:numPr>
        <w:pBdr>
          <w:top w:val="nil"/>
          <w:left w:val="nil"/>
          <w:bottom w:val="nil"/>
          <w:right w:val="nil"/>
          <w:between w:val="nil"/>
        </w:pBdr>
        <w:spacing w:after="100"/>
      </w:pPr>
      <w:r>
        <w:rPr>
          <w:rFonts w:eastAsia="Arial"/>
          <w:color w:val="000000"/>
        </w:rPr>
        <w:t>[</w:t>
      </w:r>
      <w:r>
        <w:t>JiaYiZhang,JiaYuanJiang</w:t>
      </w:r>
      <w:r>
        <w:rPr>
          <w:rFonts w:eastAsia="Arial"/>
          <w:color w:val="000000"/>
        </w:rPr>
        <w:t>]: HPC environment setup, training pipeline</w:t>
      </w:r>
    </w:p>
    <w:p w14:paraId="0D9D8110" w14:textId="77777777" w:rsidR="00CC2974" w:rsidRDefault="00000000">
      <w:pPr>
        <w:numPr>
          <w:ilvl w:val="0"/>
          <w:numId w:val="1"/>
        </w:numPr>
        <w:pBdr>
          <w:top w:val="nil"/>
          <w:left w:val="nil"/>
          <w:bottom w:val="nil"/>
          <w:right w:val="nil"/>
          <w:between w:val="nil"/>
        </w:pBdr>
        <w:spacing w:after="100"/>
      </w:pPr>
      <w:r>
        <w:rPr>
          <w:rFonts w:eastAsia="Arial"/>
          <w:color w:val="000000"/>
        </w:rPr>
        <w:lastRenderedPageBreak/>
        <w:t>[</w:t>
      </w:r>
      <w:r>
        <w:t>JiaYiZhang,JiaYuanJiang</w:t>
      </w:r>
      <w:r>
        <w:rPr>
          <w:rFonts w:eastAsia="Arial"/>
          <w:color w:val="000000"/>
        </w:rPr>
        <w:t>]: Evaluation framework, report writing</w:t>
      </w:r>
    </w:p>
    <w:p w14:paraId="6E6D092B" w14:textId="77777777" w:rsidR="00CC2974" w:rsidRDefault="00CC2974">
      <w:pPr>
        <w:spacing w:after="80"/>
      </w:pPr>
    </w:p>
    <w:p w14:paraId="6805A5F6" w14:textId="77777777" w:rsidR="00CC2974" w:rsidRDefault="00000000">
      <w:pPr>
        <w:pStyle w:val="1"/>
      </w:pPr>
      <w:r>
        <w:t>References</w:t>
      </w:r>
    </w:p>
    <w:p w14:paraId="3BBCCB6C" w14:textId="77777777" w:rsidR="00CC2974" w:rsidRDefault="00000000">
      <w:pPr>
        <w:spacing w:after="160"/>
      </w:pPr>
      <w:r>
        <w:t xml:space="preserve">[1] Ou, L., &amp; Yin, Y. (2025). Empowering Lightweight MLLMs with Reasoning via Long CoT SFT. </w:t>
      </w:r>
      <w:r>
        <w:rPr>
          <w:i/>
          <w:iCs/>
        </w:rPr>
        <w:t>arXiv preprint arXiv:2509.03321</w:t>
      </w:r>
      <w:r>
        <w:t>.</w:t>
      </w:r>
    </w:p>
    <w:p w14:paraId="54D4CE24" w14:textId="77777777" w:rsidR="00CC2974" w:rsidRDefault="00000000">
      <w:pPr>
        <w:spacing w:after="160"/>
      </w:pPr>
      <w:r>
        <w:t xml:space="preserve">[2] Araci, D. (2019). FinBERT: Financial Sentiment Analysis with Pre-trained Language Models. </w:t>
      </w:r>
      <w:r>
        <w:rPr>
          <w:i/>
          <w:iCs/>
        </w:rPr>
        <w:t>arXiv preprint arXiv:1908.10063</w:t>
      </w:r>
      <w:r>
        <w:t>.</w:t>
      </w:r>
    </w:p>
    <w:p w14:paraId="02F5281A" w14:textId="77777777" w:rsidR="00CC2974" w:rsidRDefault="00000000">
      <w:pPr>
        <w:spacing w:after="160"/>
      </w:pPr>
      <w:r>
        <w:t xml:space="preserve">[3] Wu, S., Irsoy, O., Lu, S., Dabravolski, V., et al. (2023). BloombergGPT: A Large Language Model for Finance. </w:t>
      </w:r>
      <w:r>
        <w:rPr>
          <w:i/>
          <w:iCs/>
        </w:rPr>
        <w:t>arXiv preprint arXiv:2303.17564</w:t>
      </w:r>
      <w:r>
        <w:t>.</w:t>
      </w:r>
    </w:p>
    <w:p w14:paraId="12102BF0" w14:textId="77777777" w:rsidR="00CC2974" w:rsidRDefault="00000000">
      <w:pPr>
        <w:spacing w:after="160"/>
      </w:pPr>
      <w:r>
        <w:t xml:space="preserve">[4] Xie, Q., Han, W., Zhang, X., Lai, Y., Peng, M., Lopez-Lira, A., &amp; Huang, J. (2023). PIXIU: a large language model, instruction data and evaluation benchmark for finance. </w:t>
      </w:r>
      <w:r>
        <w:rPr>
          <w:i/>
          <w:iCs/>
        </w:rPr>
        <w:t>In NIPS '23: Proceedings of the 37th International Conference on Neural Information Processing Systems</w:t>
      </w:r>
      <w:r>
        <w:t>, 33469-33484.</w:t>
      </w:r>
    </w:p>
    <w:p w14:paraId="11725C67" w14:textId="77777777" w:rsidR="00CC2974" w:rsidRDefault="00000000">
      <w:pPr>
        <w:spacing w:after="160"/>
      </w:pPr>
      <w:r>
        <w:t xml:space="preserve">[5] Wang, N., Yang, H., &amp; Wang, C. D. (2023). Fingpt: Instruction tuning benchmark for open-source large language models in financial datasets. </w:t>
      </w:r>
      <w:r>
        <w:rPr>
          <w:i/>
          <w:iCs/>
        </w:rPr>
        <w:t>arXiv preprint arXiv:2310.04793</w:t>
      </w:r>
      <w:r>
        <w:t>.</w:t>
      </w:r>
    </w:p>
    <w:p w14:paraId="6B4F8719" w14:textId="77777777" w:rsidR="00CC2974" w:rsidRDefault="00000000">
      <w:pPr>
        <w:spacing w:after="160"/>
      </w:pPr>
      <w:r>
        <w:t xml:space="preserve">[6] Huang, J., Xiao, M., Li, D., Jiang, Z., et al. (2024). Open-FinLLMs: Open Multimodal Large Language Models for Financial Applications. </w:t>
      </w:r>
      <w:r>
        <w:rPr>
          <w:i/>
          <w:iCs/>
        </w:rPr>
        <w:t>arXiv preprint arXiv:2402.04616</w:t>
      </w:r>
      <w:r>
        <w:t>.</w:t>
      </w:r>
    </w:p>
    <w:p w14:paraId="64FEC650" w14:textId="77777777" w:rsidR="00CC2974" w:rsidRDefault="00000000">
      <w:pPr>
        <w:spacing w:after="160"/>
      </w:pPr>
      <w:r>
        <w:t xml:space="preserve">[7] Cam, H., Cam, A. V., Demirel, U., &amp; Ahmed, S. (2024). Sentiment analysis of financial Twitter posts on Twitter with the machine learning classifiers. </w:t>
      </w:r>
      <w:r>
        <w:rPr>
          <w:i/>
          <w:iCs/>
        </w:rPr>
        <w:t>Heliyon, 10(1), Article e23784</w:t>
      </w:r>
      <w:r>
        <w:t>.</w:t>
      </w:r>
    </w:p>
    <w:p w14:paraId="1D0ACB0C" w14:textId="77777777" w:rsidR="00CC2974" w:rsidRDefault="00000000">
      <w:pPr>
        <w:spacing w:after="160"/>
      </w:pPr>
      <w:r>
        <w:t xml:space="preserve">[8] Du, K., Xing, F., Mao, R., &amp; Cambria, E. (2024). Financial sentiment analysis: Techniques and applications. </w:t>
      </w:r>
      <w:r>
        <w:rPr>
          <w:i/>
          <w:iCs/>
        </w:rPr>
        <w:t>ACM Computing Surveys, 56(9), pp. 220:1-220:42</w:t>
      </w:r>
      <w:r>
        <w:t>.</w:t>
      </w:r>
    </w:p>
    <w:sectPr w:rsidR="00CC2974">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0EB3201-4EF5-0B49-913F-4BB8CC2863B8}"/>
    <w:embedBold r:id="rId2" w:fontKey="{6CB0C1BA-2D81-C34F-8190-FEE6C5A70C17}"/>
    <w:embedItalic r:id="rId3" w:fontKey="{853BC655-428D-E046-BC89-81BBFBD48A88}"/>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embedRegular r:id="rId4" w:fontKey="{7A2E62A7-5D9C-3F48-BAC3-08370FDD053E}"/>
  </w:font>
  <w:font w:name="Georgia">
    <w:panose1 w:val="02040502050405020303"/>
    <w:charset w:val="00"/>
    <w:family w:val="roman"/>
    <w:pitch w:val="variable"/>
    <w:sig w:usb0="00000287" w:usb1="00000000" w:usb2="00000000" w:usb3="00000000" w:csb0="0000009F" w:csb1="00000000"/>
    <w:embedItalic r:id="rId5" w:fontKey="{CD31F990-5F48-E349-B554-21A046B8F033}"/>
  </w:font>
  <w:font w:name="Calibri">
    <w:panose1 w:val="020F0502020204030204"/>
    <w:charset w:val="00"/>
    <w:family w:val="swiss"/>
    <w:pitch w:val="variable"/>
    <w:sig w:usb0="E4002EFF" w:usb1="C200247B" w:usb2="00000009" w:usb3="00000000" w:csb0="000001FF" w:csb1="00000000"/>
    <w:embedRegular r:id="rId6" w:fontKey="{4AE92098-6193-7C42-B039-477B7CD12578}"/>
  </w:font>
  <w:font w:name="Cambria">
    <w:panose1 w:val="02040503050406030204"/>
    <w:charset w:val="00"/>
    <w:family w:val="roman"/>
    <w:pitch w:val="variable"/>
    <w:sig w:usb0="E00006FF" w:usb1="420024FF" w:usb2="02000000" w:usb3="00000000" w:csb0="0000019F" w:csb1="00000000"/>
    <w:embedRegular r:id="rId7" w:fontKey="{02DF519D-6993-8848-85C7-36F8F8E5C2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B4A92"/>
    <w:multiLevelType w:val="multilevel"/>
    <w:tmpl w:val="22AEB53A"/>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24968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974"/>
    <w:rsid w:val="007B2B3A"/>
    <w:rsid w:val="00CC2974"/>
    <w:rsid w:val="00F536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3CFC8D"/>
  <w15:docId w15:val="{AEA43B3D-87EC-2443-B7A9-7B5806F89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360" w:after="180"/>
      <w:outlineLvl w:val="0"/>
    </w:pPr>
    <w:rPr>
      <w:rFonts w:eastAsia="Arial"/>
      <w:b/>
      <w:bCs/>
      <w:color w:val="2E4057"/>
      <w:sz w:val="32"/>
      <w:szCs w:val="32"/>
    </w:rPr>
  </w:style>
  <w:style w:type="paragraph" w:styleId="2">
    <w:name w:val="heading 2"/>
    <w:basedOn w:val="a"/>
    <w:next w:val="a"/>
    <w:uiPriority w:val="9"/>
    <w:unhideWhenUsed/>
    <w:qFormat/>
    <w:pPr>
      <w:pBdr>
        <w:top w:val="nil"/>
        <w:left w:val="nil"/>
        <w:bottom w:val="nil"/>
        <w:right w:val="nil"/>
        <w:between w:val="nil"/>
      </w:pBdr>
      <w:spacing w:before="240" w:after="120"/>
      <w:outlineLvl w:val="1"/>
    </w:pPr>
    <w:rPr>
      <w:rFonts w:eastAsia="Arial"/>
      <w:b/>
      <w:bCs/>
      <w:color w:val="2E4057"/>
      <w:sz w:val="28"/>
      <w:szCs w:val="28"/>
    </w:rPr>
  </w:style>
  <w:style w:type="paragraph" w:styleId="3">
    <w:name w:val="heading 3"/>
    <w:basedOn w:val="a"/>
    <w:next w:val="a"/>
    <w:uiPriority w:val="9"/>
    <w:semiHidden/>
    <w:unhideWhenUsed/>
    <w:qFormat/>
    <w:pPr>
      <w:pBdr>
        <w:top w:val="nil"/>
        <w:left w:val="nil"/>
        <w:bottom w:val="nil"/>
        <w:right w:val="nil"/>
        <w:between w:val="nil"/>
      </w:pBdr>
      <w:outlineLvl w:val="2"/>
    </w:pPr>
    <w:rPr>
      <w:rFonts w:eastAsia="Arial"/>
      <w:color w:val="1F4D78"/>
    </w:rPr>
  </w:style>
  <w:style w:type="paragraph" w:styleId="4">
    <w:name w:val="heading 4"/>
    <w:basedOn w:val="a"/>
    <w:next w:val="a"/>
    <w:uiPriority w:val="9"/>
    <w:semiHidden/>
    <w:unhideWhenUsed/>
    <w:qFormat/>
    <w:pPr>
      <w:pBdr>
        <w:top w:val="nil"/>
        <w:left w:val="nil"/>
        <w:bottom w:val="nil"/>
        <w:right w:val="nil"/>
        <w:between w:val="nil"/>
      </w:pBdr>
      <w:outlineLvl w:val="3"/>
    </w:pPr>
    <w:rPr>
      <w:rFonts w:eastAsia="Arial"/>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rFonts w:eastAsia="Arial"/>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rFonts w:eastAsia="Arial"/>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rFonts w:eastAsia="Arial"/>
      <w:color w:val="000000"/>
      <w:sz w:val="56"/>
      <w:szCs w:val="56"/>
    </w:rPr>
  </w:style>
  <w:style w:type="paragraph" w:customStyle="1" w:styleId="10">
    <w:name w:val="要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a9">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yuyuea@umich.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yuyuea@umich.ed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CUzukxOGleoSeXmOs5gpcNPUIQ==">CgMxLjAyDWgudWJkaW5heGkyZmE4AHIhMXFaai1VaDZTUm9fekdMTFEyM1dXQWRoR19LOS03aXNO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2481</Words>
  <Characters>14147</Characters>
  <Application>Microsoft Office Word</Application>
  <DocSecurity>0</DocSecurity>
  <Lines>117</Lines>
  <Paragraphs>33</Paragraphs>
  <ScaleCrop>false</ScaleCrop>
  <Company/>
  <LinksUpToDate>false</LinksUpToDate>
  <CharactersWithSpaces>16595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Avalanchy J</cp:lastModifiedBy>
  <cp:revision>2</cp:revision>
  <dcterms:created xsi:type="dcterms:W3CDTF">2026-03-11T09:40:00Z</dcterms:created>
  <dcterms:modified xsi:type="dcterms:W3CDTF">2026-04-22T19:28:00Z</dcterms:modified>
</cp:coreProperties>
</file>