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2"/>
          <w:szCs w:val="32"/>
        </w:rPr>
      </w:pPr>
      <w:bookmarkStart w:colFirst="0" w:colLast="0" w:name="_y5lkam2mwtd6" w:id="0"/>
      <w:bookmarkEnd w:id="0"/>
      <w:r w:rsidDel="00000000" w:rsidR="00000000" w:rsidRPr="00000000">
        <w:rPr>
          <w:sz w:val="32"/>
          <w:szCs w:val="32"/>
          <w:rtl w:val="0"/>
        </w:rPr>
        <w:t xml:space="preserve">From Sentiment to Signals: Finmini LLM for Financial Sentiment Analysis and Text-Driven Stock Movement Prediction</w:t>
      </w:r>
    </w:p>
    <w:p w:rsidR="00000000" w:rsidDel="00000000" w:rsidP="00000000" w:rsidRDefault="00000000" w:rsidRPr="00000000" w14:paraId="00000002">
      <w:pPr>
        <w:pStyle w:val="Heading1"/>
        <w:rPr>
          <w:b w:val="1"/>
          <w:bCs w:val="1"/>
          <w:sz w:val="28"/>
          <w:szCs w:val="28"/>
        </w:rPr>
      </w:pPr>
      <w:bookmarkStart w:colFirst="0" w:colLast="0" w:name="_60mz1lywmyp4" w:id="1"/>
      <w:bookmarkEnd w:id="1"/>
      <w:r w:rsidDel="00000000" w:rsidR="00000000" w:rsidRPr="00000000">
        <w:rPr>
          <w:b w:val="1"/>
          <w:bCs w:val="1"/>
          <w:sz w:val="28"/>
          <w:szCs w:val="28"/>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Large Language Models (LLMs) demonstrate strong general language understanding abilities, but they often struggle when applied to specialized domains that require domain-specific semantics and reasoning. In the financial domain, this limitation is particularly evident in two closely related tasks: understanding sentiment in financial texts and reasoning about how such sentiment relates to stock price movements.</w:t>
      </w:r>
    </w:p>
    <w:p w:rsidR="00000000" w:rsidDel="00000000" w:rsidP="00000000" w:rsidRDefault="00000000" w:rsidRPr="00000000" w14:paraId="00000004">
      <w:pPr>
        <w:spacing w:after="240" w:before="240" w:lineRule="auto"/>
        <w:rPr/>
      </w:pPr>
      <w:r w:rsidDel="00000000" w:rsidR="00000000" w:rsidRPr="00000000">
        <w:rPr>
          <w:rtl w:val="0"/>
        </w:rPr>
        <w:t xml:space="preserve">Financial news and market-related texts contain nuanced sentiment expressions that differ significantly from general sentiment usage. Moreover, the relationship between sentiment and stock price changes is indirect, context-dependent, and influenced by market expectations. General-purpose LLMs, which are not specifically trained on financial data, often misinterpret these signals or fail to reason coherently about their potential market implications.</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aims to address this gap by fine-tuning a large language model for the financial domain, with the goal of improving its ability to (1) accurately interpret sentiment in financial texts, and (2) reason about the relationship between sentiment signals and subsequent stock price movements as a language understanding and reasoning task, rather than as a direct prediction problem.</w:t>
      </w:r>
    </w:p>
    <w:p w:rsidR="00000000" w:rsidDel="00000000" w:rsidP="00000000" w:rsidRDefault="00000000" w:rsidRPr="00000000" w14:paraId="00000006">
      <w:pPr>
        <w:pStyle w:val="Heading1"/>
        <w:rPr>
          <w:b w:val="1"/>
          <w:bCs w:val="1"/>
          <w:sz w:val="28"/>
          <w:szCs w:val="28"/>
        </w:rPr>
      </w:pPr>
      <w:bookmarkStart w:colFirst="0" w:colLast="0" w:name="_wbxeejyxyebj" w:id="2"/>
      <w:bookmarkEnd w:id="2"/>
      <w:r w:rsidDel="00000000" w:rsidR="00000000" w:rsidRPr="00000000">
        <w:rPr>
          <w:b w:val="1"/>
          <w:bCs w:val="1"/>
          <w:sz w:val="28"/>
          <w:szCs w:val="28"/>
          <w:rtl w:val="0"/>
        </w:rPr>
        <w:t xml:space="preserve">Significance</w:t>
      </w:r>
    </w:p>
    <w:p w:rsidR="00000000" w:rsidDel="00000000" w:rsidP="00000000" w:rsidRDefault="00000000" w:rsidRPr="00000000" w14:paraId="00000007">
      <w:pPr>
        <w:spacing w:after="240" w:before="240" w:lineRule="auto"/>
        <w:rPr/>
      </w:pPr>
      <w:r w:rsidDel="00000000" w:rsidR="00000000" w:rsidRPr="00000000">
        <w:rPr>
          <w:rtl w:val="0"/>
        </w:rPr>
        <w:t xml:space="preserve">Understanding financial sentiment and its relationship to market behavior is a fundamental challenge in both financial analysis and natural language processing. While traditional machine learning approaches have focused on building task-specific price prediction models, these approaches often lack interpretability, flexibility, and generalizability across assets and market conditions.</w:t>
      </w:r>
    </w:p>
    <w:p w:rsidR="00000000" w:rsidDel="00000000" w:rsidP="00000000" w:rsidRDefault="00000000" w:rsidRPr="00000000" w14:paraId="00000008">
      <w:pPr>
        <w:spacing w:after="240" w:before="240" w:lineRule="auto"/>
        <w:rPr/>
      </w:pPr>
      <w:r w:rsidDel="00000000" w:rsidR="00000000" w:rsidRPr="00000000">
        <w:rPr>
          <w:rtl w:val="0"/>
        </w:rPr>
        <w:t xml:space="preserve">The inability of general-purpose LLMs to reliably interpret financial sentiment currently limits their usefulness as analytical and decision-support tools in finance. Without domain-adapted representations, LLMs may hallucinate causal relationships, rely on superficial correlations, or misjudge the strength and direction of sentiment signals. As a result, researchers and practitioners are forced to rely on narrow predictive pipelines rather than leveraging the broader reasoning capabilities of LLMs.</w:t>
      </w:r>
    </w:p>
    <w:p w:rsidR="00000000" w:rsidDel="00000000" w:rsidP="00000000" w:rsidRDefault="00000000" w:rsidRPr="00000000" w14:paraId="00000009">
      <w:pPr>
        <w:spacing w:after="240" w:before="240" w:lineRule="auto"/>
        <w:rPr/>
      </w:pPr>
      <w:r w:rsidDel="00000000" w:rsidR="00000000" w:rsidRPr="00000000">
        <w:rPr>
          <w:rtl w:val="0"/>
        </w:rPr>
        <w:t xml:space="preserve">If this problem were successfully addressed, a fine-tuned financial LLM could function as a financial understanding model rather than a black-box predictor. Such a model could support a wide range of downstream applications, including market analysis, risk assessment, and explainable decision support, by providing structured interpretations of sentiment and coherent reasoning about potential price implications. This would significantly expand the role of LLMs in financial research and practice.</w:t>
      </w:r>
    </w:p>
    <w:p w:rsidR="00000000" w:rsidDel="00000000" w:rsidP="00000000" w:rsidRDefault="00000000" w:rsidRPr="00000000" w14:paraId="0000000A">
      <w:pPr>
        <w:pStyle w:val="Heading1"/>
        <w:rPr>
          <w:b w:val="1"/>
          <w:bCs w:val="1"/>
          <w:sz w:val="28"/>
          <w:szCs w:val="28"/>
        </w:rPr>
      </w:pPr>
      <w:bookmarkStart w:colFirst="0" w:colLast="0" w:name="_aco4icu0q19r" w:id="3"/>
      <w:bookmarkEnd w:id="3"/>
      <w:r w:rsidDel="00000000" w:rsidR="00000000" w:rsidRPr="00000000">
        <w:rPr>
          <w:b w:val="1"/>
          <w:bCs w:val="1"/>
          <w:sz w:val="28"/>
          <w:szCs w:val="28"/>
          <w:rtl w:val="0"/>
        </w:rPr>
        <w:t xml:space="preserve">Related Work</w:t>
      </w:r>
    </w:p>
    <w:p w:rsidR="00000000" w:rsidDel="00000000" w:rsidP="00000000" w:rsidRDefault="00000000" w:rsidRPr="00000000" w14:paraId="0000000B">
      <w:pPr>
        <w:spacing w:after="240" w:before="240" w:lineRule="auto"/>
        <w:rPr/>
      </w:pPr>
      <w:r w:rsidDel="00000000" w:rsidR="00000000" w:rsidRPr="00000000">
        <w:rPr>
          <w:rtl w:val="0"/>
        </w:rPr>
        <w:t xml:space="preserve">Recent work on financial domain adaptation for large language models has demonstrated that fine-tuning general-purpose LLMs on large collections of publicly available financial datasets can substantially improve their performance across a wide range of financial NLP tasks. Representative studies adopt systematic fine-tuning pipelines that combine supervised fine-tuning, parameter-efficient adaptation techniques, and task-specific evaluation using standardized benchmark metrics. This line of work shows that scaling data diversity and fine-tuning strategies is an effective way to enhance LLMs’ overall financial capabilities.</w:t>
      </w:r>
    </w:p>
    <w:p w:rsidR="00000000" w:rsidDel="00000000" w:rsidP="00000000" w:rsidRDefault="00000000" w:rsidRPr="00000000" w14:paraId="0000000C">
      <w:pPr>
        <w:spacing w:after="240" w:before="240" w:lineRule="auto"/>
        <w:rPr/>
      </w:pPr>
      <w:r w:rsidDel="00000000" w:rsidR="00000000" w:rsidRPr="00000000">
        <w:rPr>
          <w:rtl w:val="0"/>
        </w:rPr>
        <w:t xml:space="preserve">Our approach follows a similar methodological paradigm. We also leverage multiple publicly available financial datasets and adopt established fine-tuning techniques to adapt a base language model to the financial domain. Model performance is evaluated using the standard metrics provided by each dataset, allowing for direct and fair comparison with prior work.</w:t>
      </w:r>
    </w:p>
    <w:p w:rsidR="00000000" w:rsidDel="00000000" w:rsidP="00000000" w:rsidRDefault="00000000" w:rsidRPr="00000000" w14:paraId="0000000D">
      <w:pPr>
        <w:spacing w:after="240" w:before="240" w:lineRule="auto"/>
        <w:rPr/>
      </w:pPr>
      <w:r w:rsidDel="00000000" w:rsidR="00000000" w:rsidRPr="00000000">
        <w:rPr>
          <w:rtl w:val="0"/>
        </w:rPr>
        <w:t xml:space="preserve">However, while existing studies emphasize broad task coverage and aggregate benchmark performance, our work focuses on a </w:t>
      </w:r>
      <w:r w:rsidDel="00000000" w:rsidR="00000000" w:rsidRPr="00000000">
        <w:rPr>
          <w:b w:val="1"/>
          <w:bCs w:val="1"/>
          <w:rtl w:val="0"/>
        </w:rPr>
        <w:t xml:space="preserve">more targeted capability improvement</w:t>
      </w:r>
      <w:r w:rsidDel="00000000" w:rsidR="00000000" w:rsidRPr="00000000">
        <w:rPr>
          <w:rtl w:val="0"/>
        </w:rPr>
        <w:t xml:space="preserve">. Specifically, we concentrate on enhancing the model’s ability to understand financial sentiment and to reason about the relationship between sentiment signals and stock price movements. Rather than optimizing for performance across a diverse set of unrelated financial tasks, we curate datasets and fine-tuning objectives that are directly aligned with this specific semantic and reasoning goal. This targeted focus allows us to investigate whether domain-specific fine-tuning can lead to stronger and more coherent financial understanding within a narrower but practically meaningful scope.</w:t>
      </w:r>
    </w:p>
    <w:p w:rsidR="00000000" w:rsidDel="00000000" w:rsidP="00000000" w:rsidRDefault="00000000" w:rsidRPr="00000000" w14:paraId="0000000E">
      <w:pPr>
        <w:pStyle w:val="Heading1"/>
        <w:rPr>
          <w:b w:val="1"/>
          <w:bCs w:val="1"/>
          <w:sz w:val="28"/>
          <w:szCs w:val="28"/>
        </w:rPr>
      </w:pPr>
      <w:bookmarkStart w:colFirst="0" w:colLast="0" w:name="_j1hf05peb3qc" w:id="4"/>
      <w:bookmarkEnd w:id="4"/>
      <w:r w:rsidDel="00000000" w:rsidR="00000000" w:rsidRPr="00000000">
        <w:rPr>
          <w:b w:val="1"/>
          <w:bCs w:val="1"/>
          <w:sz w:val="28"/>
          <w:szCs w:val="28"/>
          <w:rtl w:val="0"/>
        </w:rPr>
        <w:t xml:space="preserve">Method / Approach</w:t>
      </w:r>
    </w:p>
    <w:p w:rsidR="00000000" w:rsidDel="00000000" w:rsidP="00000000" w:rsidRDefault="00000000" w:rsidRPr="00000000" w14:paraId="0000000F">
      <w:pPr>
        <w:spacing w:after="240" w:before="240" w:lineRule="auto"/>
        <w:rPr/>
      </w:pPr>
      <w:r w:rsidDel="00000000" w:rsidR="00000000" w:rsidRPr="00000000">
        <w:rPr>
          <w:rtl w:val="0"/>
        </w:rPr>
        <w:t xml:space="preserve">We propose to fine-tune a general-purpose large language model for the financial domain by leveraging multiple publicly available datasets related to financial sentiment and stock price movements. Our methodological framework follows recent benchmark-driven financial LLM studies, adopting established fine-tuning pipelines and evaluation protocols to ensure comparability with prior work.</w:t>
      </w:r>
    </w:p>
    <w:p w:rsidR="00000000" w:rsidDel="00000000" w:rsidP="00000000" w:rsidRDefault="00000000" w:rsidRPr="00000000" w14:paraId="00000010">
      <w:pPr>
        <w:spacing w:after="240" w:before="240" w:lineRule="auto"/>
        <w:rPr/>
      </w:pPr>
      <w:r w:rsidDel="00000000" w:rsidR="00000000" w:rsidRPr="00000000">
        <w:rPr>
          <w:rtl w:val="0"/>
        </w:rPr>
        <w:t xml:space="preserve">Specifically, we begin with </w:t>
      </w:r>
      <w:r w:rsidDel="00000000" w:rsidR="00000000" w:rsidRPr="00000000">
        <w:rPr>
          <w:b w:val="1"/>
          <w:bCs w:val="1"/>
          <w:rtl w:val="0"/>
        </w:rPr>
        <w:t xml:space="preserve">supervised fine-tuning (SFT)</w:t>
      </w:r>
      <w:r w:rsidDel="00000000" w:rsidR="00000000" w:rsidRPr="00000000">
        <w:rPr>
          <w:rtl w:val="0"/>
        </w:rPr>
        <w:t xml:space="preserve"> on curated financial datasets that focus on sentiment analysis and sentiment–price relationships. To enable efficient domain adaptation under limited computational resources, we employ </w:t>
      </w:r>
      <w:r w:rsidDel="00000000" w:rsidR="00000000" w:rsidRPr="00000000">
        <w:rPr>
          <w:b w:val="1"/>
          <w:bCs w:val="1"/>
          <w:rtl w:val="0"/>
        </w:rPr>
        <w:t xml:space="preserve">parameter-efficient fine-tuning (PEFT)</w:t>
      </w:r>
      <w:r w:rsidDel="00000000" w:rsidR="00000000" w:rsidRPr="00000000">
        <w:rPr>
          <w:rtl w:val="0"/>
        </w:rPr>
        <w:t xml:space="preserve"> techniques such as low-rank adaptation (e.g., LoRA), which allow the model to acquire domain-specific knowledge without updating the full parameter set. These techniques have been shown to be effective in recent financial LLM benchmarks and provide a scalable foundation for our approach.</w:t>
      </w:r>
    </w:p>
    <w:p w:rsidR="00000000" w:rsidDel="00000000" w:rsidP="00000000" w:rsidRDefault="00000000" w:rsidRPr="00000000" w14:paraId="00000011">
      <w:pPr>
        <w:spacing w:after="240" w:before="240" w:lineRule="auto"/>
        <w:rPr/>
      </w:pPr>
      <w:r w:rsidDel="00000000" w:rsidR="00000000" w:rsidRPr="00000000">
        <w:rPr>
          <w:rtl w:val="0"/>
        </w:rPr>
        <w:t xml:space="preserve">Unlike approaches that treat sentiment analysis and price-related tasks as independent objectives, our fine-tuning strategy emphasizes their semantic connection. We frame both objectives as </w:t>
      </w:r>
      <w:r w:rsidDel="00000000" w:rsidR="00000000" w:rsidRPr="00000000">
        <w:rPr>
          <w:b w:val="1"/>
          <w:bCs w:val="1"/>
          <w:rtl w:val="0"/>
        </w:rPr>
        <w:t xml:space="preserve">language-centered classification and reasoning tasks</w:t>
      </w:r>
      <w:r w:rsidDel="00000000" w:rsidR="00000000" w:rsidRPr="00000000">
        <w:rPr>
          <w:rtl w:val="0"/>
        </w:rPr>
        <w:t xml:space="preserve">, such as sentiment categorization and price movement direction prediction, rather than as numerical time-series forecasting. This design encourages the model to learn meaningful associations between financial language and market behavior at the representation and reasoning level.</w:t>
      </w:r>
    </w:p>
    <w:p w:rsidR="00000000" w:rsidDel="00000000" w:rsidP="00000000" w:rsidRDefault="00000000" w:rsidRPr="00000000" w14:paraId="00000012">
      <w:pPr>
        <w:spacing w:after="240" w:before="240" w:lineRule="auto"/>
        <w:rPr/>
      </w:pPr>
      <w:r w:rsidDel="00000000" w:rsidR="00000000" w:rsidRPr="00000000">
        <w:rPr>
          <w:rtl w:val="0"/>
        </w:rPr>
        <w:t xml:space="preserve">To complement task-level performance evaluation, we incorporate </w:t>
      </w:r>
      <w:r w:rsidDel="00000000" w:rsidR="00000000" w:rsidRPr="00000000">
        <w:rPr>
          <w:b w:val="1"/>
          <w:bCs w:val="1"/>
          <w:rtl w:val="0"/>
        </w:rPr>
        <w:t xml:space="preserve">post-hoc interpretability analysis</w:t>
      </w:r>
      <w:r w:rsidDel="00000000" w:rsidR="00000000" w:rsidRPr="00000000">
        <w:rPr>
          <w:rtl w:val="0"/>
        </w:rPr>
        <w:t xml:space="preserve"> to examine how the fine-tuned model arrives at its predictions. After training, we analyze model outputs using techniques such as attention pattern inspection, confidence distribution analysis, and error case analysis across different sentiment and price movement scenarios. These analyses aim to determine whether the model relies on financially meaningful sentiment cues, rather than spurious correlations, when reasoning about market outcomes. By combining standard fine-tuning algorithms with post-hoc interpretability analysis, our approach evaluates not only whether the model performs better, but also whether it demonstrates more transparent and coherent financial reasoning.</w:t>
      </w:r>
    </w:p>
    <w:p w:rsidR="00000000" w:rsidDel="00000000" w:rsidP="00000000" w:rsidRDefault="00000000" w:rsidRPr="00000000" w14:paraId="00000013">
      <w:pPr>
        <w:pStyle w:val="Heading1"/>
        <w:rPr>
          <w:b w:val="1"/>
          <w:bCs w:val="1"/>
          <w:sz w:val="28"/>
          <w:szCs w:val="28"/>
        </w:rPr>
      </w:pPr>
      <w:bookmarkStart w:colFirst="0" w:colLast="0" w:name="_icbvleckee08" w:id="5"/>
      <w:bookmarkEnd w:id="5"/>
      <w:r w:rsidDel="00000000" w:rsidR="00000000" w:rsidRPr="00000000">
        <w:rPr>
          <w:b w:val="1"/>
          <w:bCs w:val="1"/>
          <w:sz w:val="28"/>
          <w:szCs w:val="28"/>
          <w:rtl w:val="0"/>
        </w:rPr>
        <w:t xml:space="preserve">Evaluation</w:t>
      </w:r>
    </w:p>
    <w:p w:rsidR="00000000" w:rsidDel="00000000" w:rsidP="00000000" w:rsidRDefault="00000000" w:rsidRPr="00000000" w14:paraId="00000014">
      <w:pPr>
        <w:spacing w:after="240" w:before="240" w:lineRule="auto"/>
        <w:rPr/>
      </w:pPr>
      <w:r w:rsidDel="00000000" w:rsidR="00000000" w:rsidRPr="00000000">
        <w:rPr>
          <w:rtl w:val="0"/>
        </w:rPr>
        <w:t xml:space="preserve">We will evaluate our approach using the Open FinLLM Leaderboard as an external, public benchmark. Our primary focus is on financial text sentiment analysis, using datasets such as Financial PhraseBank (FPB) and FiQA-SA, which test whether the model can correctly infer market-relevant sentiment from finance-specific language. We will report the standard leaderboard metrics—Accuracy and Macro-F1—where Macro-F1 is particularly important because it reflects balanced performance across sentiment classes rather than being dominated by the majority class. We will run evaluations using the leaderboard’s standardized pipeline to ensure our results are directly comparable to other reported models.</w:t>
      </w:r>
    </w:p>
    <w:p w:rsidR="00000000" w:rsidDel="00000000" w:rsidP="00000000" w:rsidRDefault="00000000" w:rsidRPr="00000000" w14:paraId="00000015">
      <w:pPr>
        <w:spacing w:after="240" w:before="240" w:lineRule="auto"/>
        <w:rPr/>
      </w:pPr>
      <w:r w:rsidDel="00000000" w:rsidR="00000000" w:rsidRPr="00000000">
        <w:rPr>
          <w:rtl w:val="0"/>
        </w:rPr>
        <w:t xml:space="preserve">In addition, we will evaluate text-driven stock movement prediction using the leaderboard’s forecasting benchmarks (e.g., BigData22, ACL18, and CIKM18), where the goal is to predict rise/fall from financial text (often paired with historical price context). For these tasks, we will report Accuracy (ACC) and Matthews Correlation Coefficient (MCC), with MCC emphasized because it is more robust under potential class imbalance and better captures overall prediction quality than accuracy alone. Our objective is to achieve consistent improvements over strong open-source baselines (e.g., DeepSeek- and GPT-family models reported on the leaderboard) on both sentiment and stock movement sections under the same evaluation protocol, so gains reflect real generalization rather than differences in experimental setup.</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