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08FB" w14:textId="205476B0" w:rsidR="007E50E1" w:rsidRPr="007939EE" w:rsidRDefault="00AB1A60" w:rsidP="00AB1A60">
      <w:pPr>
        <w:jc w:val="center"/>
        <w:rPr>
          <w:b/>
          <w:bCs/>
          <w:sz w:val="40"/>
          <w:szCs w:val="40"/>
        </w:rPr>
      </w:pPr>
      <w:r w:rsidRPr="007939EE">
        <w:rPr>
          <w:b/>
          <w:bCs/>
          <w:sz w:val="40"/>
          <w:szCs w:val="40"/>
        </w:rPr>
        <w:t>======</w:t>
      </w:r>
      <w:r w:rsidR="007939EE" w:rsidRPr="007939EE">
        <w:rPr>
          <w:b/>
          <w:bCs/>
          <w:sz w:val="40"/>
          <w:szCs w:val="40"/>
        </w:rPr>
        <w:t>HW 9.C Report======</w:t>
      </w:r>
    </w:p>
    <w:p w14:paraId="635A0558" w14:textId="400C6488" w:rsidR="007939EE" w:rsidRDefault="007939EE" w:rsidP="00AB1A60">
      <w:pPr>
        <w:jc w:val="center"/>
        <w:rPr>
          <w:sz w:val="28"/>
          <w:szCs w:val="28"/>
        </w:rPr>
      </w:pPr>
      <w:r w:rsidRPr="007939EE">
        <w:rPr>
          <w:sz w:val="28"/>
          <w:szCs w:val="28"/>
        </w:rPr>
        <w:t>Jiayuan Li</w:t>
      </w:r>
    </w:p>
    <w:p w14:paraId="36798189" w14:textId="7396A6E7" w:rsidR="006021BB" w:rsidRPr="00391749" w:rsidRDefault="00D5349F" w:rsidP="00391749">
      <w:pPr>
        <w:pStyle w:val="NoSpacing"/>
        <w:jc w:val="center"/>
        <w:rPr>
          <w:sz w:val="28"/>
          <w:szCs w:val="28"/>
          <w:bdr w:val="single" w:sz="4" w:space="0" w:color="auto"/>
        </w:rPr>
      </w:pPr>
      <w:r w:rsidRPr="00391749">
        <w:rPr>
          <w:sz w:val="28"/>
          <w:szCs w:val="28"/>
          <w:highlight w:val="yellow"/>
          <w:bdr w:val="single" w:sz="4" w:space="0" w:color="auto"/>
        </w:rPr>
        <w:t xml:space="preserve">b) </w:t>
      </w:r>
      <w:r w:rsidR="00436B47" w:rsidRPr="00391749">
        <w:rPr>
          <w:sz w:val="28"/>
          <w:szCs w:val="28"/>
          <w:highlight w:val="yellow"/>
          <w:bdr w:val="single" w:sz="4" w:space="0" w:color="auto"/>
        </w:rPr>
        <w:t>Simulated price</w:t>
      </w:r>
      <w:r w:rsidRPr="00391749">
        <w:rPr>
          <w:sz w:val="28"/>
          <w:szCs w:val="28"/>
          <w:highlight w:val="yellow"/>
          <w:bdr w:val="single" w:sz="4" w:space="0" w:color="auto"/>
        </w:rPr>
        <w:t xml:space="preserve"> for different NT/</w:t>
      </w:r>
      <w:r w:rsidR="00436B47" w:rsidRPr="00391749">
        <w:rPr>
          <w:sz w:val="28"/>
          <w:szCs w:val="28"/>
          <w:highlight w:val="yellow"/>
          <w:bdr w:val="single" w:sz="4" w:space="0" w:color="auto"/>
        </w:rPr>
        <w:t>NSIM</w:t>
      </w:r>
    </w:p>
    <w:tbl>
      <w:tblPr>
        <w:tblStyle w:val="TableGrid"/>
        <w:tblpPr w:leftFromText="180" w:rightFromText="180" w:vertAnchor="page" w:horzAnchor="margin" w:tblpY="3526"/>
        <w:tblW w:w="0" w:type="auto"/>
        <w:tblLook w:val="04A0" w:firstRow="1" w:lastRow="0" w:firstColumn="1" w:lastColumn="0" w:noHBand="0" w:noVBand="1"/>
      </w:tblPr>
      <w:tblGrid>
        <w:gridCol w:w="895"/>
        <w:gridCol w:w="1170"/>
        <w:gridCol w:w="1350"/>
        <w:gridCol w:w="1620"/>
        <w:gridCol w:w="1260"/>
        <w:gridCol w:w="1710"/>
        <w:gridCol w:w="1345"/>
      </w:tblGrid>
      <w:tr w:rsidR="005A26DE" w14:paraId="3860960D" w14:textId="77777777" w:rsidTr="005A26DE">
        <w:tc>
          <w:tcPr>
            <w:tcW w:w="895" w:type="dxa"/>
            <w:vMerge w:val="restart"/>
          </w:tcPr>
          <w:p w14:paraId="3DFE6BDA" w14:textId="77777777" w:rsidR="005A26DE" w:rsidRDefault="005A26DE" w:rsidP="005A26DE">
            <w:r>
              <w:t>Batch 1</w:t>
            </w:r>
          </w:p>
        </w:tc>
        <w:tc>
          <w:tcPr>
            <w:tcW w:w="1170" w:type="dxa"/>
          </w:tcPr>
          <w:p w14:paraId="647C5BDE" w14:textId="77777777" w:rsidR="005A26DE" w:rsidRDefault="005A26DE" w:rsidP="005A26DE">
            <w:r>
              <w:t>NT</w:t>
            </w:r>
          </w:p>
        </w:tc>
        <w:tc>
          <w:tcPr>
            <w:tcW w:w="1350" w:type="dxa"/>
          </w:tcPr>
          <w:p w14:paraId="11DD2D0B" w14:textId="77777777" w:rsidR="005A26DE" w:rsidRDefault="005A26DE" w:rsidP="005A26DE">
            <w:r>
              <w:t>NSIM</w:t>
            </w:r>
          </w:p>
        </w:tc>
        <w:tc>
          <w:tcPr>
            <w:tcW w:w="1620" w:type="dxa"/>
          </w:tcPr>
          <w:p w14:paraId="6D15A6DB" w14:textId="77777777" w:rsidR="005A26DE" w:rsidRDefault="005A26DE" w:rsidP="005A26DE">
            <w:r>
              <w:t>Simulated Put</w:t>
            </w:r>
          </w:p>
        </w:tc>
        <w:tc>
          <w:tcPr>
            <w:tcW w:w="1260" w:type="dxa"/>
          </w:tcPr>
          <w:p w14:paraId="72AF11AC" w14:textId="77777777" w:rsidR="005A26DE" w:rsidRDefault="005A26DE" w:rsidP="005A26DE">
            <w:r>
              <w:t>Relative Err</w:t>
            </w:r>
          </w:p>
        </w:tc>
        <w:tc>
          <w:tcPr>
            <w:tcW w:w="1710" w:type="dxa"/>
          </w:tcPr>
          <w:p w14:paraId="4145E5E6" w14:textId="77777777" w:rsidR="005A26DE" w:rsidRDefault="005A26DE" w:rsidP="005A26DE">
            <w:r>
              <w:t>Simulated Call</w:t>
            </w:r>
          </w:p>
        </w:tc>
        <w:tc>
          <w:tcPr>
            <w:tcW w:w="1345" w:type="dxa"/>
          </w:tcPr>
          <w:p w14:paraId="3191907B" w14:textId="77777777" w:rsidR="005A26DE" w:rsidRDefault="005A26DE" w:rsidP="005A26DE">
            <w:r>
              <w:t>Relative Err</w:t>
            </w:r>
          </w:p>
        </w:tc>
      </w:tr>
      <w:tr w:rsidR="005A26DE" w14:paraId="06B0C1C7" w14:textId="77777777" w:rsidTr="005A26DE">
        <w:tc>
          <w:tcPr>
            <w:tcW w:w="895" w:type="dxa"/>
            <w:vMerge/>
          </w:tcPr>
          <w:p w14:paraId="6C69429E" w14:textId="77777777" w:rsidR="005A26DE" w:rsidRDefault="005A26DE" w:rsidP="005A26DE"/>
        </w:tc>
        <w:tc>
          <w:tcPr>
            <w:tcW w:w="1170" w:type="dxa"/>
          </w:tcPr>
          <w:p w14:paraId="1D2D95B2" w14:textId="77777777" w:rsidR="005A26DE" w:rsidRDefault="005A26DE" w:rsidP="005A26DE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14:paraId="78D48F86" w14:textId="77777777" w:rsidR="005A26DE" w:rsidRDefault="005A26DE" w:rsidP="005A26DE">
            <w:pPr>
              <w:jc w:val="center"/>
            </w:pPr>
            <w:r>
              <w:t>10000</w:t>
            </w:r>
          </w:p>
        </w:tc>
        <w:tc>
          <w:tcPr>
            <w:tcW w:w="1620" w:type="dxa"/>
            <w:vAlign w:val="bottom"/>
          </w:tcPr>
          <w:p w14:paraId="0D92FAEC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5.90807</w:t>
            </w:r>
          </w:p>
        </w:tc>
        <w:tc>
          <w:tcPr>
            <w:tcW w:w="1260" w:type="dxa"/>
            <w:vAlign w:val="bottom"/>
          </w:tcPr>
          <w:p w14:paraId="5AB0F14C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1.06%</w:t>
            </w:r>
          </w:p>
        </w:tc>
        <w:tc>
          <w:tcPr>
            <w:tcW w:w="1710" w:type="dxa"/>
          </w:tcPr>
          <w:p w14:paraId="5125C7FA" w14:textId="77777777" w:rsidR="005A26DE" w:rsidRDefault="005A26DE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2.1378</w:t>
            </w:r>
          </w:p>
        </w:tc>
        <w:tc>
          <w:tcPr>
            <w:tcW w:w="1345" w:type="dxa"/>
          </w:tcPr>
          <w:p w14:paraId="317593B8" w14:textId="77777777" w:rsidR="005A26DE" w:rsidRDefault="005A26DE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0.21%</w:t>
            </w:r>
          </w:p>
        </w:tc>
      </w:tr>
      <w:tr w:rsidR="005A26DE" w14:paraId="5FF803CD" w14:textId="77777777" w:rsidTr="005A26DE">
        <w:tc>
          <w:tcPr>
            <w:tcW w:w="895" w:type="dxa"/>
            <w:vMerge/>
          </w:tcPr>
          <w:p w14:paraId="4606B128" w14:textId="77777777" w:rsidR="005A26DE" w:rsidRDefault="005A26DE" w:rsidP="005A26DE"/>
        </w:tc>
        <w:tc>
          <w:tcPr>
            <w:tcW w:w="1170" w:type="dxa"/>
          </w:tcPr>
          <w:p w14:paraId="09C71869" w14:textId="77777777" w:rsidR="005A26DE" w:rsidRDefault="005A26DE" w:rsidP="005A26DE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14:paraId="3600358F" w14:textId="77777777" w:rsidR="005A26DE" w:rsidRDefault="005A26DE" w:rsidP="005A26DE">
            <w:pPr>
              <w:jc w:val="center"/>
            </w:pPr>
            <w:r>
              <w:t>100000</w:t>
            </w:r>
          </w:p>
        </w:tc>
        <w:tc>
          <w:tcPr>
            <w:tcW w:w="1620" w:type="dxa"/>
            <w:vAlign w:val="bottom"/>
          </w:tcPr>
          <w:p w14:paraId="41137861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5.87321</w:t>
            </w:r>
          </w:p>
        </w:tc>
        <w:tc>
          <w:tcPr>
            <w:tcW w:w="1260" w:type="dxa"/>
            <w:vAlign w:val="bottom"/>
          </w:tcPr>
          <w:p w14:paraId="22FDFB61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0.46%</w:t>
            </w:r>
          </w:p>
        </w:tc>
        <w:tc>
          <w:tcPr>
            <w:tcW w:w="1710" w:type="dxa"/>
          </w:tcPr>
          <w:p w14:paraId="04A17F6D" w14:textId="77777777" w:rsidR="005A26DE" w:rsidRDefault="005A26DE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2.13043</w:t>
            </w:r>
          </w:p>
        </w:tc>
        <w:tc>
          <w:tcPr>
            <w:tcW w:w="1345" w:type="dxa"/>
          </w:tcPr>
          <w:p w14:paraId="42A21B24" w14:textId="77777777" w:rsidR="005A26DE" w:rsidRDefault="005A26DE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0.14%</w:t>
            </w:r>
          </w:p>
        </w:tc>
      </w:tr>
      <w:tr w:rsidR="005A26DE" w14:paraId="077F9E84" w14:textId="77777777" w:rsidTr="005A26DE">
        <w:tc>
          <w:tcPr>
            <w:tcW w:w="895" w:type="dxa"/>
            <w:vMerge/>
          </w:tcPr>
          <w:p w14:paraId="48B6B380" w14:textId="77777777" w:rsidR="005A26DE" w:rsidRDefault="005A26DE" w:rsidP="005A26DE"/>
        </w:tc>
        <w:tc>
          <w:tcPr>
            <w:tcW w:w="1170" w:type="dxa"/>
          </w:tcPr>
          <w:p w14:paraId="24112226" w14:textId="77777777" w:rsidR="005A26DE" w:rsidRDefault="005A26DE" w:rsidP="005A26DE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14:paraId="4057CDD1" w14:textId="77777777" w:rsidR="005A26DE" w:rsidRDefault="005A26DE" w:rsidP="005A26DE">
            <w:pPr>
              <w:jc w:val="center"/>
            </w:pPr>
            <w:r>
              <w:t>1000000</w:t>
            </w:r>
          </w:p>
        </w:tc>
        <w:tc>
          <w:tcPr>
            <w:tcW w:w="1620" w:type="dxa"/>
            <w:vAlign w:val="bottom"/>
          </w:tcPr>
          <w:p w14:paraId="037FA5BE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5.85125</w:t>
            </w:r>
          </w:p>
        </w:tc>
        <w:tc>
          <w:tcPr>
            <w:tcW w:w="1260" w:type="dxa"/>
            <w:vAlign w:val="bottom"/>
          </w:tcPr>
          <w:p w14:paraId="53062331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0.08%</w:t>
            </w:r>
          </w:p>
        </w:tc>
        <w:tc>
          <w:tcPr>
            <w:tcW w:w="1710" w:type="dxa"/>
          </w:tcPr>
          <w:p w14:paraId="2D80FF58" w14:textId="77777777" w:rsidR="005A26DE" w:rsidRDefault="005A26DE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2.13271</w:t>
            </w:r>
          </w:p>
        </w:tc>
        <w:tc>
          <w:tcPr>
            <w:tcW w:w="1345" w:type="dxa"/>
          </w:tcPr>
          <w:p w14:paraId="48D0A610" w14:textId="77777777" w:rsidR="005A26DE" w:rsidRDefault="005A26DE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0.03%</w:t>
            </w:r>
          </w:p>
        </w:tc>
      </w:tr>
      <w:tr w:rsidR="005A26DE" w14:paraId="267CBAF7" w14:textId="77777777" w:rsidTr="005A26DE">
        <w:tc>
          <w:tcPr>
            <w:tcW w:w="895" w:type="dxa"/>
            <w:vMerge/>
          </w:tcPr>
          <w:p w14:paraId="45F0D43E" w14:textId="77777777" w:rsidR="005A26DE" w:rsidRDefault="005A26DE" w:rsidP="005A26DE"/>
        </w:tc>
        <w:tc>
          <w:tcPr>
            <w:tcW w:w="1170" w:type="dxa"/>
          </w:tcPr>
          <w:p w14:paraId="430B2165" w14:textId="77777777" w:rsidR="005A26DE" w:rsidRDefault="005A26DE" w:rsidP="005A26DE">
            <w:pPr>
              <w:jc w:val="center"/>
            </w:pPr>
            <w:r>
              <w:t>300</w:t>
            </w:r>
          </w:p>
        </w:tc>
        <w:tc>
          <w:tcPr>
            <w:tcW w:w="1350" w:type="dxa"/>
          </w:tcPr>
          <w:p w14:paraId="1D0CF57D" w14:textId="77777777" w:rsidR="005A26DE" w:rsidRDefault="005A26DE" w:rsidP="005A26DE">
            <w:pPr>
              <w:jc w:val="center"/>
            </w:pPr>
            <w:r>
              <w:t>10000</w:t>
            </w:r>
          </w:p>
        </w:tc>
        <w:tc>
          <w:tcPr>
            <w:tcW w:w="1620" w:type="dxa"/>
            <w:vAlign w:val="bottom"/>
          </w:tcPr>
          <w:p w14:paraId="15326F11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5.98696</w:t>
            </w:r>
          </w:p>
        </w:tc>
        <w:tc>
          <w:tcPr>
            <w:tcW w:w="1260" w:type="dxa"/>
            <w:vAlign w:val="bottom"/>
          </w:tcPr>
          <w:p w14:paraId="4ADB8A8F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2.41%</w:t>
            </w:r>
          </w:p>
        </w:tc>
        <w:tc>
          <w:tcPr>
            <w:tcW w:w="1710" w:type="dxa"/>
          </w:tcPr>
          <w:p w14:paraId="635F704E" w14:textId="77777777" w:rsidR="005A26DE" w:rsidRDefault="005A26DE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2.10303</w:t>
            </w:r>
          </w:p>
        </w:tc>
        <w:tc>
          <w:tcPr>
            <w:tcW w:w="1345" w:type="dxa"/>
          </w:tcPr>
          <w:p w14:paraId="5F6450CD" w14:textId="77777777" w:rsidR="005A26DE" w:rsidRDefault="005A26DE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1.42%</w:t>
            </w:r>
          </w:p>
        </w:tc>
      </w:tr>
      <w:tr w:rsidR="005A26DE" w14:paraId="3F348397" w14:textId="77777777" w:rsidTr="005A26DE">
        <w:tc>
          <w:tcPr>
            <w:tcW w:w="895" w:type="dxa"/>
            <w:vMerge/>
          </w:tcPr>
          <w:p w14:paraId="1A1D5E30" w14:textId="77777777" w:rsidR="005A26DE" w:rsidRDefault="005A26DE" w:rsidP="005A26DE"/>
        </w:tc>
        <w:tc>
          <w:tcPr>
            <w:tcW w:w="1170" w:type="dxa"/>
          </w:tcPr>
          <w:p w14:paraId="73B323B6" w14:textId="77777777" w:rsidR="005A26DE" w:rsidRDefault="005A26DE" w:rsidP="005A26DE">
            <w:pPr>
              <w:jc w:val="center"/>
            </w:pPr>
            <w:r>
              <w:t>300</w:t>
            </w:r>
          </w:p>
        </w:tc>
        <w:tc>
          <w:tcPr>
            <w:tcW w:w="1350" w:type="dxa"/>
          </w:tcPr>
          <w:p w14:paraId="3A6DF9E0" w14:textId="77777777" w:rsidR="005A26DE" w:rsidRDefault="005A26DE" w:rsidP="005A26DE">
            <w:pPr>
              <w:jc w:val="center"/>
            </w:pPr>
            <w:r>
              <w:t>100000</w:t>
            </w:r>
          </w:p>
        </w:tc>
        <w:tc>
          <w:tcPr>
            <w:tcW w:w="1620" w:type="dxa"/>
            <w:vAlign w:val="bottom"/>
          </w:tcPr>
          <w:p w14:paraId="2817CA7D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5.85221</w:t>
            </w:r>
          </w:p>
        </w:tc>
        <w:tc>
          <w:tcPr>
            <w:tcW w:w="1260" w:type="dxa"/>
            <w:vAlign w:val="bottom"/>
          </w:tcPr>
          <w:p w14:paraId="33BFD528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0.10%</w:t>
            </w:r>
          </w:p>
        </w:tc>
        <w:tc>
          <w:tcPr>
            <w:tcW w:w="1710" w:type="dxa"/>
          </w:tcPr>
          <w:p w14:paraId="61613EC3" w14:textId="1CD330AF" w:rsidR="005A26DE" w:rsidRDefault="004B3622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2.168</w:t>
            </w:r>
          </w:p>
        </w:tc>
        <w:tc>
          <w:tcPr>
            <w:tcW w:w="1345" w:type="dxa"/>
          </w:tcPr>
          <w:p w14:paraId="6AB1B9DF" w14:textId="29C9E039" w:rsidR="005A26DE" w:rsidRDefault="004B3622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1.63%</w:t>
            </w:r>
          </w:p>
        </w:tc>
      </w:tr>
      <w:tr w:rsidR="005A26DE" w14:paraId="16D20840" w14:textId="77777777" w:rsidTr="005A26DE">
        <w:tc>
          <w:tcPr>
            <w:tcW w:w="895" w:type="dxa"/>
            <w:vMerge/>
          </w:tcPr>
          <w:p w14:paraId="5CA9210E" w14:textId="77777777" w:rsidR="005A26DE" w:rsidRDefault="005A26DE" w:rsidP="005A26DE"/>
        </w:tc>
        <w:tc>
          <w:tcPr>
            <w:tcW w:w="1170" w:type="dxa"/>
          </w:tcPr>
          <w:p w14:paraId="5F65F0D3" w14:textId="77777777" w:rsidR="005A26DE" w:rsidRDefault="005A26DE" w:rsidP="005A26DE">
            <w:pPr>
              <w:jc w:val="center"/>
            </w:pPr>
            <w:r>
              <w:t>300</w:t>
            </w:r>
          </w:p>
        </w:tc>
        <w:tc>
          <w:tcPr>
            <w:tcW w:w="1350" w:type="dxa"/>
          </w:tcPr>
          <w:p w14:paraId="64D4A737" w14:textId="77777777" w:rsidR="005A26DE" w:rsidRDefault="005A26DE" w:rsidP="005A26DE">
            <w:pPr>
              <w:jc w:val="center"/>
            </w:pPr>
            <w:r>
              <w:t>1000000</w:t>
            </w:r>
          </w:p>
        </w:tc>
        <w:tc>
          <w:tcPr>
            <w:tcW w:w="1620" w:type="dxa"/>
            <w:vAlign w:val="bottom"/>
          </w:tcPr>
          <w:p w14:paraId="4D1FDDA5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5.85369</w:t>
            </w:r>
          </w:p>
        </w:tc>
        <w:tc>
          <w:tcPr>
            <w:tcW w:w="1260" w:type="dxa"/>
            <w:vAlign w:val="bottom"/>
          </w:tcPr>
          <w:p w14:paraId="5A86D5A9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0.12%</w:t>
            </w:r>
          </w:p>
        </w:tc>
        <w:tc>
          <w:tcPr>
            <w:tcW w:w="1710" w:type="dxa"/>
          </w:tcPr>
          <w:p w14:paraId="01BFA29E" w14:textId="2645385F" w:rsidR="005A26DE" w:rsidRDefault="00954708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2.11876</w:t>
            </w:r>
          </w:p>
        </w:tc>
        <w:tc>
          <w:tcPr>
            <w:tcW w:w="1345" w:type="dxa"/>
          </w:tcPr>
          <w:p w14:paraId="2FCE424B" w14:textId="180CA987" w:rsidR="005A26DE" w:rsidRDefault="001506F0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0.32%</w:t>
            </w:r>
          </w:p>
        </w:tc>
      </w:tr>
      <w:tr w:rsidR="005A26DE" w14:paraId="5878F066" w14:textId="77777777" w:rsidTr="005A26DE">
        <w:tc>
          <w:tcPr>
            <w:tcW w:w="895" w:type="dxa"/>
            <w:vMerge/>
          </w:tcPr>
          <w:p w14:paraId="129330EE" w14:textId="77777777" w:rsidR="005A26DE" w:rsidRDefault="005A26DE" w:rsidP="005A26DE"/>
        </w:tc>
        <w:tc>
          <w:tcPr>
            <w:tcW w:w="1170" w:type="dxa"/>
          </w:tcPr>
          <w:p w14:paraId="33C8DE59" w14:textId="77777777" w:rsidR="005A26DE" w:rsidRDefault="005A26DE" w:rsidP="005A26DE">
            <w:pPr>
              <w:jc w:val="center"/>
            </w:pPr>
            <w:r>
              <w:t>600</w:t>
            </w:r>
          </w:p>
        </w:tc>
        <w:tc>
          <w:tcPr>
            <w:tcW w:w="1350" w:type="dxa"/>
          </w:tcPr>
          <w:p w14:paraId="3C06C58A" w14:textId="77777777" w:rsidR="005A26DE" w:rsidRDefault="005A26DE" w:rsidP="005A26DE">
            <w:pPr>
              <w:jc w:val="center"/>
            </w:pPr>
            <w:r>
              <w:t>10000</w:t>
            </w:r>
          </w:p>
        </w:tc>
        <w:tc>
          <w:tcPr>
            <w:tcW w:w="1620" w:type="dxa"/>
            <w:vAlign w:val="bottom"/>
          </w:tcPr>
          <w:p w14:paraId="6AD5045D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5.97616</w:t>
            </w:r>
          </w:p>
        </w:tc>
        <w:tc>
          <w:tcPr>
            <w:tcW w:w="1260" w:type="dxa"/>
            <w:vAlign w:val="bottom"/>
          </w:tcPr>
          <w:p w14:paraId="09155DB2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2.22%</w:t>
            </w:r>
          </w:p>
        </w:tc>
        <w:tc>
          <w:tcPr>
            <w:tcW w:w="1710" w:type="dxa"/>
          </w:tcPr>
          <w:p w14:paraId="13B83D86" w14:textId="40162042" w:rsidR="005A26DE" w:rsidRDefault="006B40E1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2.14295</w:t>
            </w:r>
          </w:p>
        </w:tc>
        <w:tc>
          <w:tcPr>
            <w:tcW w:w="1345" w:type="dxa"/>
          </w:tcPr>
          <w:p w14:paraId="1E1CF893" w14:textId="416860C4" w:rsidR="005A26DE" w:rsidRDefault="00317296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0.50%</w:t>
            </w:r>
          </w:p>
        </w:tc>
      </w:tr>
      <w:tr w:rsidR="005A26DE" w14:paraId="1F699703" w14:textId="77777777" w:rsidTr="005A26DE">
        <w:tc>
          <w:tcPr>
            <w:tcW w:w="895" w:type="dxa"/>
            <w:vMerge/>
          </w:tcPr>
          <w:p w14:paraId="32AB6075" w14:textId="77777777" w:rsidR="005A26DE" w:rsidRDefault="005A26DE" w:rsidP="005A26DE"/>
        </w:tc>
        <w:tc>
          <w:tcPr>
            <w:tcW w:w="1170" w:type="dxa"/>
          </w:tcPr>
          <w:p w14:paraId="73A03574" w14:textId="77777777" w:rsidR="005A26DE" w:rsidRDefault="005A26DE" w:rsidP="005A26DE">
            <w:pPr>
              <w:jc w:val="center"/>
            </w:pPr>
            <w:r>
              <w:t>600</w:t>
            </w:r>
          </w:p>
        </w:tc>
        <w:tc>
          <w:tcPr>
            <w:tcW w:w="1350" w:type="dxa"/>
          </w:tcPr>
          <w:p w14:paraId="642F91E2" w14:textId="77777777" w:rsidR="005A26DE" w:rsidRDefault="005A26DE" w:rsidP="005A26DE">
            <w:pPr>
              <w:jc w:val="center"/>
            </w:pPr>
            <w:r>
              <w:t>100000</w:t>
            </w:r>
          </w:p>
        </w:tc>
        <w:tc>
          <w:tcPr>
            <w:tcW w:w="1620" w:type="dxa"/>
            <w:vAlign w:val="bottom"/>
          </w:tcPr>
          <w:p w14:paraId="0FFC76ED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5.85448</w:t>
            </w:r>
          </w:p>
        </w:tc>
        <w:tc>
          <w:tcPr>
            <w:tcW w:w="1260" w:type="dxa"/>
            <w:vAlign w:val="bottom"/>
          </w:tcPr>
          <w:p w14:paraId="636B242F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0.14%</w:t>
            </w:r>
          </w:p>
        </w:tc>
        <w:tc>
          <w:tcPr>
            <w:tcW w:w="1710" w:type="dxa"/>
          </w:tcPr>
          <w:p w14:paraId="205800DC" w14:textId="2970DB72" w:rsidR="005A26DE" w:rsidRDefault="001506F0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2.14173</w:t>
            </w:r>
          </w:p>
        </w:tc>
        <w:tc>
          <w:tcPr>
            <w:tcW w:w="1345" w:type="dxa"/>
          </w:tcPr>
          <w:p w14:paraId="6B25ACF8" w14:textId="40ADAC60" w:rsidR="005A26DE" w:rsidRDefault="00317296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0.39%</w:t>
            </w:r>
          </w:p>
        </w:tc>
      </w:tr>
      <w:tr w:rsidR="005A26DE" w14:paraId="39410863" w14:textId="77777777" w:rsidTr="001F4352">
        <w:tc>
          <w:tcPr>
            <w:tcW w:w="895" w:type="dxa"/>
            <w:vMerge/>
          </w:tcPr>
          <w:p w14:paraId="30D31DBD" w14:textId="77777777" w:rsidR="005A26DE" w:rsidRDefault="005A26DE" w:rsidP="005A26DE"/>
        </w:tc>
        <w:tc>
          <w:tcPr>
            <w:tcW w:w="1170" w:type="dxa"/>
            <w:shd w:val="clear" w:color="auto" w:fill="C5E0B3" w:themeFill="accent6" w:themeFillTint="66"/>
          </w:tcPr>
          <w:p w14:paraId="2E28B8B9" w14:textId="77777777" w:rsidR="005A26DE" w:rsidRDefault="005A26DE" w:rsidP="005A26DE">
            <w:pPr>
              <w:jc w:val="center"/>
            </w:pPr>
            <w:r>
              <w:t>600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14:paraId="6B435B9C" w14:textId="77777777" w:rsidR="005A26DE" w:rsidRDefault="005A26DE" w:rsidP="005A26DE">
            <w:pPr>
              <w:jc w:val="center"/>
            </w:pPr>
            <w:r>
              <w:t>1000000</w:t>
            </w:r>
          </w:p>
        </w:tc>
        <w:tc>
          <w:tcPr>
            <w:tcW w:w="1620" w:type="dxa"/>
            <w:shd w:val="clear" w:color="auto" w:fill="C5E0B3" w:themeFill="accent6" w:themeFillTint="66"/>
            <w:vAlign w:val="bottom"/>
          </w:tcPr>
          <w:p w14:paraId="121E57AD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5.84197</w:t>
            </w:r>
          </w:p>
        </w:tc>
        <w:tc>
          <w:tcPr>
            <w:tcW w:w="1260" w:type="dxa"/>
            <w:shd w:val="clear" w:color="auto" w:fill="C5E0B3" w:themeFill="accent6" w:themeFillTint="66"/>
            <w:vAlign w:val="bottom"/>
          </w:tcPr>
          <w:p w14:paraId="31163FD2" w14:textId="77777777" w:rsidR="005A26DE" w:rsidRDefault="005A26DE" w:rsidP="005A26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0.07%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3D9B2911" w14:textId="01DB0033" w:rsidR="005A26DE" w:rsidRDefault="003A23FA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2.13166</w:t>
            </w:r>
          </w:p>
        </w:tc>
        <w:tc>
          <w:tcPr>
            <w:tcW w:w="1345" w:type="dxa"/>
            <w:shd w:val="clear" w:color="auto" w:fill="C5E0B3" w:themeFill="accent6" w:themeFillTint="66"/>
          </w:tcPr>
          <w:p w14:paraId="0483397C" w14:textId="431621E9" w:rsidR="005A26DE" w:rsidRDefault="001F4352" w:rsidP="005A2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0.08%</w:t>
            </w:r>
          </w:p>
        </w:tc>
      </w:tr>
    </w:tbl>
    <w:p w14:paraId="758DDE1B" w14:textId="0EEB9C9A" w:rsidR="001B3A12" w:rsidRPr="005A26DE" w:rsidRDefault="005A26DE" w:rsidP="005A26DE">
      <w:pPr>
        <w:pStyle w:val="NoSpacing"/>
        <w:jc w:val="center"/>
        <w:rPr>
          <w:b/>
          <w:bCs/>
        </w:rPr>
      </w:pPr>
      <w:r w:rsidRPr="005A26DE">
        <w:rPr>
          <w:b/>
          <w:bCs/>
        </w:rPr>
        <w:t xml:space="preserve"> </w:t>
      </w:r>
      <w:r w:rsidR="001B3A12" w:rsidRPr="005A26DE">
        <w:rPr>
          <w:b/>
          <w:bCs/>
        </w:rPr>
        <w:t>(</w:t>
      </w:r>
      <w:r w:rsidR="005450B1" w:rsidRPr="005A26DE">
        <w:rPr>
          <w:b/>
          <w:bCs/>
        </w:rPr>
        <w:t xml:space="preserve">Batch 1: </w:t>
      </w:r>
      <w:r w:rsidR="001B3A12" w:rsidRPr="005A26DE">
        <w:rPr>
          <w:b/>
          <w:bCs/>
        </w:rPr>
        <w:t>The exact</w:t>
      </w:r>
      <w:r w:rsidR="00E736CA" w:rsidRPr="005A26DE">
        <w:rPr>
          <w:b/>
          <w:bCs/>
        </w:rPr>
        <w:t xml:space="preserve"> Put</w:t>
      </w:r>
      <w:r w:rsidR="001B3A12" w:rsidRPr="005A26DE">
        <w:rPr>
          <w:b/>
          <w:bCs/>
        </w:rPr>
        <w:t xml:space="preserve"> </w:t>
      </w:r>
      <w:r w:rsidR="00E736CA" w:rsidRPr="005A26DE">
        <w:rPr>
          <w:b/>
          <w:bCs/>
        </w:rPr>
        <w:t>P</w:t>
      </w:r>
      <w:r w:rsidR="001B3A12" w:rsidRPr="005A26DE">
        <w:rPr>
          <w:b/>
          <w:bCs/>
        </w:rPr>
        <w:t xml:space="preserve">rice is </w:t>
      </w:r>
      <w:r w:rsidR="00EE0057" w:rsidRPr="005A26DE">
        <w:rPr>
          <w:b/>
          <w:bCs/>
        </w:rPr>
        <w:t>5.84628</w:t>
      </w:r>
      <w:r w:rsidR="001847F1" w:rsidRPr="005A26DE">
        <w:rPr>
          <w:b/>
          <w:bCs/>
        </w:rPr>
        <w:t>, The exact Call Price is 2.13337</w:t>
      </w:r>
      <w:r w:rsidR="001B3A12" w:rsidRPr="005A26DE">
        <w:rPr>
          <w:b/>
          <w:bCs/>
        </w:rPr>
        <w:t>)</w:t>
      </w:r>
    </w:p>
    <w:tbl>
      <w:tblPr>
        <w:tblStyle w:val="TableGrid1"/>
        <w:tblpPr w:leftFromText="180" w:rightFromText="180" w:vertAnchor="page" w:horzAnchor="margin" w:tblpY="6631"/>
        <w:tblW w:w="0" w:type="auto"/>
        <w:tblLook w:val="04A0" w:firstRow="1" w:lastRow="0" w:firstColumn="1" w:lastColumn="0" w:noHBand="0" w:noVBand="1"/>
      </w:tblPr>
      <w:tblGrid>
        <w:gridCol w:w="895"/>
        <w:gridCol w:w="1170"/>
        <w:gridCol w:w="1340"/>
        <w:gridCol w:w="1615"/>
        <w:gridCol w:w="1275"/>
        <w:gridCol w:w="1673"/>
        <w:gridCol w:w="1382"/>
      </w:tblGrid>
      <w:tr w:rsidR="005A26DE" w:rsidRPr="005450B1" w14:paraId="7AD904CE" w14:textId="77777777" w:rsidTr="005A26DE">
        <w:tc>
          <w:tcPr>
            <w:tcW w:w="895" w:type="dxa"/>
            <w:vMerge w:val="restart"/>
          </w:tcPr>
          <w:p w14:paraId="33832471" w14:textId="77777777" w:rsidR="005A26DE" w:rsidRPr="005450B1" w:rsidRDefault="005A26DE" w:rsidP="005A26DE">
            <w:bookmarkStart w:id="0" w:name="_Hlk34580664"/>
            <w:r w:rsidRPr="005450B1">
              <w:t xml:space="preserve">Batch </w:t>
            </w:r>
            <w:r>
              <w:t>2</w:t>
            </w:r>
          </w:p>
        </w:tc>
        <w:tc>
          <w:tcPr>
            <w:tcW w:w="1170" w:type="dxa"/>
          </w:tcPr>
          <w:p w14:paraId="4919D253" w14:textId="77777777" w:rsidR="005A26DE" w:rsidRPr="005450B1" w:rsidRDefault="005A26DE" w:rsidP="005A26DE">
            <w:r w:rsidRPr="005450B1">
              <w:t>NT</w:t>
            </w:r>
          </w:p>
        </w:tc>
        <w:tc>
          <w:tcPr>
            <w:tcW w:w="1340" w:type="dxa"/>
          </w:tcPr>
          <w:p w14:paraId="7EA69ABB" w14:textId="77777777" w:rsidR="005A26DE" w:rsidRPr="005450B1" w:rsidRDefault="005A26DE" w:rsidP="005A26DE">
            <w:r w:rsidRPr="005450B1">
              <w:t>NSIM</w:t>
            </w:r>
          </w:p>
        </w:tc>
        <w:tc>
          <w:tcPr>
            <w:tcW w:w="1615" w:type="dxa"/>
          </w:tcPr>
          <w:p w14:paraId="588AFD4E" w14:textId="77777777" w:rsidR="005A26DE" w:rsidRPr="005450B1" w:rsidRDefault="005A26DE" w:rsidP="005A26DE">
            <w:r w:rsidRPr="005450B1">
              <w:t xml:space="preserve">Simulated </w:t>
            </w:r>
            <w:r>
              <w:t>Put</w:t>
            </w:r>
          </w:p>
        </w:tc>
        <w:tc>
          <w:tcPr>
            <w:tcW w:w="1275" w:type="dxa"/>
          </w:tcPr>
          <w:p w14:paraId="67247F76" w14:textId="77777777" w:rsidR="005A26DE" w:rsidRPr="005450B1" w:rsidRDefault="005A26DE" w:rsidP="005A26DE">
            <w:r w:rsidRPr="005450B1">
              <w:t>Rela</w:t>
            </w:r>
            <w:r>
              <w:t>tive</w:t>
            </w:r>
            <w:r w:rsidRPr="005450B1">
              <w:t xml:space="preserve"> Err</w:t>
            </w:r>
          </w:p>
        </w:tc>
        <w:tc>
          <w:tcPr>
            <w:tcW w:w="1673" w:type="dxa"/>
          </w:tcPr>
          <w:p w14:paraId="7E3AC1CE" w14:textId="77777777" w:rsidR="005A26DE" w:rsidRPr="005450B1" w:rsidRDefault="005A26DE" w:rsidP="005A26DE">
            <w:r w:rsidRPr="005450B1">
              <w:t xml:space="preserve">Simulated </w:t>
            </w:r>
            <w:r>
              <w:t>Call</w:t>
            </w:r>
          </w:p>
        </w:tc>
        <w:tc>
          <w:tcPr>
            <w:tcW w:w="1382" w:type="dxa"/>
          </w:tcPr>
          <w:p w14:paraId="2F2A0A47" w14:textId="77777777" w:rsidR="005A26DE" w:rsidRPr="005450B1" w:rsidRDefault="005A26DE" w:rsidP="005A26DE">
            <w:r w:rsidRPr="005450B1">
              <w:t>Rela</w:t>
            </w:r>
            <w:r>
              <w:t>tive</w:t>
            </w:r>
            <w:r w:rsidRPr="005450B1">
              <w:t xml:space="preserve"> Err</w:t>
            </w:r>
          </w:p>
        </w:tc>
      </w:tr>
      <w:tr w:rsidR="005A26DE" w:rsidRPr="005450B1" w14:paraId="2BF64AE4" w14:textId="77777777" w:rsidTr="005A26DE">
        <w:tc>
          <w:tcPr>
            <w:tcW w:w="895" w:type="dxa"/>
            <w:vMerge/>
          </w:tcPr>
          <w:p w14:paraId="729A49D2" w14:textId="77777777" w:rsidR="005A26DE" w:rsidRPr="005450B1" w:rsidRDefault="005A26DE" w:rsidP="005A26DE"/>
        </w:tc>
        <w:tc>
          <w:tcPr>
            <w:tcW w:w="1170" w:type="dxa"/>
          </w:tcPr>
          <w:p w14:paraId="240EE837" w14:textId="77777777" w:rsidR="005A26DE" w:rsidRPr="005450B1" w:rsidRDefault="005A26DE" w:rsidP="005A26DE">
            <w:pPr>
              <w:jc w:val="center"/>
            </w:pPr>
            <w:r w:rsidRPr="005450B1">
              <w:t>100</w:t>
            </w:r>
          </w:p>
        </w:tc>
        <w:tc>
          <w:tcPr>
            <w:tcW w:w="1340" w:type="dxa"/>
          </w:tcPr>
          <w:p w14:paraId="6AEF413F" w14:textId="77777777" w:rsidR="005A26DE" w:rsidRPr="005450B1" w:rsidRDefault="005A26DE" w:rsidP="005A26DE">
            <w:pPr>
              <w:jc w:val="center"/>
            </w:pPr>
            <w:r w:rsidRPr="005450B1">
              <w:t>10000</w:t>
            </w:r>
          </w:p>
        </w:tc>
        <w:tc>
          <w:tcPr>
            <w:tcW w:w="1615" w:type="dxa"/>
          </w:tcPr>
          <w:p w14:paraId="77A701B9" w14:textId="77777777" w:rsidR="005A26DE" w:rsidRPr="005450B1" w:rsidRDefault="005A26DE" w:rsidP="005A26DE">
            <w:pPr>
              <w:jc w:val="center"/>
            </w:pPr>
            <w:r>
              <w:t>8.06336</w:t>
            </w:r>
          </w:p>
        </w:tc>
        <w:tc>
          <w:tcPr>
            <w:tcW w:w="1275" w:type="dxa"/>
          </w:tcPr>
          <w:p w14:paraId="5CFA0F84" w14:textId="77777777" w:rsidR="005A26DE" w:rsidRPr="005450B1" w:rsidRDefault="005A26DE" w:rsidP="005A26DE">
            <w:pPr>
              <w:jc w:val="center"/>
            </w:pPr>
            <w:r>
              <w:t>1.23%</w:t>
            </w:r>
          </w:p>
        </w:tc>
        <w:tc>
          <w:tcPr>
            <w:tcW w:w="1673" w:type="dxa"/>
          </w:tcPr>
          <w:p w14:paraId="003217CB" w14:textId="77777777" w:rsidR="005A26DE" w:rsidRPr="005450B1" w:rsidRDefault="005A26DE" w:rsidP="005A26DE">
            <w:pPr>
              <w:jc w:val="center"/>
            </w:pPr>
            <w:r>
              <w:t>7.94097</w:t>
            </w:r>
          </w:p>
        </w:tc>
        <w:tc>
          <w:tcPr>
            <w:tcW w:w="1382" w:type="dxa"/>
          </w:tcPr>
          <w:p w14:paraId="1CC77C3F" w14:textId="77777777" w:rsidR="005A26DE" w:rsidRPr="005450B1" w:rsidRDefault="005A26DE" w:rsidP="005A26DE">
            <w:pPr>
              <w:jc w:val="center"/>
            </w:pPr>
            <w:r>
              <w:t>0.31%</w:t>
            </w:r>
          </w:p>
        </w:tc>
      </w:tr>
      <w:tr w:rsidR="005A26DE" w:rsidRPr="005450B1" w14:paraId="0E21DDD9" w14:textId="77777777" w:rsidTr="005A26DE">
        <w:tc>
          <w:tcPr>
            <w:tcW w:w="895" w:type="dxa"/>
            <w:vMerge/>
          </w:tcPr>
          <w:p w14:paraId="22A3D210" w14:textId="77777777" w:rsidR="005A26DE" w:rsidRPr="005450B1" w:rsidRDefault="005A26DE" w:rsidP="005A26DE"/>
        </w:tc>
        <w:tc>
          <w:tcPr>
            <w:tcW w:w="1170" w:type="dxa"/>
          </w:tcPr>
          <w:p w14:paraId="01BE835D" w14:textId="77777777" w:rsidR="005A26DE" w:rsidRPr="005450B1" w:rsidRDefault="005A26DE" w:rsidP="005A26DE">
            <w:pPr>
              <w:jc w:val="center"/>
            </w:pPr>
            <w:r w:rsidRPr="005450B1">
              <w:t>100</w:t>
            </w:r>
          </w:p>
        </w:tc>
        <w:tc>
          <w:tcPr>
            <w:tcW w:w="1340" w:type="dxa"/>
          </w:tcPr>
          <w:p w14:paraId="04C22835" w14:textId="77777777" w:rsidR="005A26DE" w:rsidRPr="005450B1" w:rsidRDefault="005A26DE" w:rsidP="005A26DE">
            <w:pPr>
              <w:jc w:val="center"/>
            </w:pPr>
            <w:r w:rsidRPr="005450B1">
              <w:t>100000</w:t>
            </w:r>
          </w:p>
        </w:tc>
        <w:tc>
          <w:tcPr>
            <w:tcW w:w="1615" w:type="dxa"/>
          </w:tcPr>
          <w:p w14:paraId="278D2D2F" w14:textId="77777777" w:rsidR="005A26DE" w:rsidRPr="005450B1" w:rsidRDefault="005A26DE" w:rsidP="005A26DE">
            <w:pPr>
              <w:jc w:val="center"/>
            </w:pPr>
            <w:r>
              <w:t>8.0079</w:t>
            </w:r>
          </w:p>
        </w:tc>
        <w:tc>
          <w:tcPr>
            <w:tcW w:w="1275" w:type="dxa"/>
          </w:tcPr>
          <w:p w14:paraId="6E0B29D2" w14:textId="77777777" w:rsidR="005A26DE" w:rsidRPr="005450B1" w:rsidRDefault="005A26DE" w:rsidP="005A26DE">
            <w:pPr>
              <w:jc w:val="center"/>
            </w:pPr>
            <w:r>
              <w:t>0.53%</w:t>
            </w:r>
          </w:p>
        </w:tc>
        <w:tc>
          <w:tcPr>
            <w:tcW w:w="1673" w:type="dxa"/>
          </w:tcPr>
          <w:p w14:paraId="3D50525D" w14:textId="77777777" w:rsidR="005A26DE" w:rsidRPr="005450B1" w:rsidRDefault="005A26DE" w:rsidP="005A26DE">
            <w:pPr>
              <w:jc w:val="center"/>
            </w:pPr>
            <w:r>
              <w:t>7.94362</w:t>
            </w:r>
          </w:p>
        </w:tc>
        <w:tc>
          <w:tcPr>
            <w:tcW w:w="1382" w:type="dxa"/>
          </w:tcPr>
          <w:p w14:paraId="4D749FC3" w14:textId="77777777" w:rsidR="005A26DE" w:rsidRPr="005450B1" w:rsidRDefault="005A26DE" w:rsidP="005A26DE">
            <w:pPr>
              <w:jc w:val="center"/>
            </w:pPr>
            <w:r>
              <w:t>0.27%</w:t>
            </w:r>
          </w:p>
        </w:tc>
      </w:tr>
      <w:tr w:rsidR="005A26DE" w:rsidRPr="005450B1" w14:paraId="06EF38B6" w14:textId="77777777" w:rsidTr="005A26DE">
        <w:tc>
          <w:tcPr>
            <w:tcW w:w="895" w:type="dxa"/>
            <w:vMerge/>
          </w:tcPr>
          <w:p w14:paraId="444897C9" w14:textId="77777777" w:rsidR="005A26DE" w:rsidRPr="005450B1" w:rsidRDefault="005A26DE" w:rsidP="005A26DE"/>
        </w:tc>
        <w:tc>
          <w:tcPr>
            <w:tcW w:w="1170" w:type="dxa"/>
          </w:tcPr>
          <w:p w14:paraId="2FF3DE93" w14:textId="77777777" w:rsidR="005A26DE" w:rsidRPr="005450B1" w:rsidRDefault="005A26DE" w:rsidP="005A26DE">
            <w:pPr>
              <w:jc w:val="center"/>
            </w:pPr>
            <w:r w:rsidRPr="005450B1">
              <w:t>100</w:t>
            </w:r>
          </w:p>
        </w:tc>
        <w:tc>
          <w:tcPr>
            <w:tcW w:w="1340" w:type="dxa"/>
          </w:tcPr>
          <w:p w14:paraId="39AE7E1A" w14:textId="77777777" w:rsidR="005A26DE" w:rsidRPr="005450B1" w:rsidRDefault="005A26DE" w:rsidP="005A26DE">
            <w:pPr>
              <w:jc w:val="center"/>
            </w:pPr>
            <w:r w:rsidRPr="005450B1">
              <w:t>1000000</w:t>
            </w:r>
          </w:p>
        </w:tc>
        <w:tc>
          <w:tcPr>
            <w:tcW w:w="1615" w:type="dxa"/>
          </w:tcPr>
          <w:p w14:paraId="762876F8" w14:textId="77777777" w:rsidR="005A26DE" w:rsidRPr="005450B1" w:rsidRDefault="005A26DE" w:rsidP="005A26DE">
            <w:pPr>
              <w:jc w:val="center"/>
            </w:pPr>
            <w:r>
              <w:t>7.97439</w:t>
            </w:r>
          </w:p>
        </w:tc>
        <w:tc>
          <w:tcPr>
            <w:tcW w:w="1275" w:type="dxa"/>
          </w:tcPr>
          <w:p w14:paraId="09690BE5" w14:textId="77777777" w:rsidR="005A26DE" w:rsidRPr="005450B1" w:rsidRDefault="005A26DE" w:rsidP="005A26DE">
            <w:pPr>
              <w:jc w:val="center"/>
            </w:pPr>
            <w:r>
              <w:t>0.11%</w:t>
            </w:r>
          </w:p>
        </w:tc>
        <w:tc>
          <w:tcPr>
            <w:tcW w:w="1673" w:type="dxa"/>
          </w:tcPr>
          <w:p w14:paraId="1DFA1727" w14:textId="77777777" w:rsidR="005A26DE" w:rsidRPr="005450B1" w:rsidRDefault="005A26DE" w:rsidP="005A26DE">
            <w:pPr>
              <w:jc w:val="center"/>
            </w:pPr>
            <w:r>
              <w:t>7.9625</w:t>
            </w:r>
          </w:p>
        </w:tc>
        <w:tc>
          <w:tcPr>
            <w:tcW w:w="1382" w:type="dxa"/>
          </w:tcPr>
          <w:p w14:paraId="1E56E72C" w14:textId="77777777" w:rsidR="005A26DE" w:rsidRPr="005450B1" w:rsidRDefault="005A26DE" w:rsidP="005A26DE">
            <w:pPr>
              <w:jc w:val="center"/>
            </w:pPr>
            <w:r>
              <w:t>0.04%</w:t>
            </w:r>
          </w:p>
        </w:tc>
      </w:tr>
      <w:tr w:rsidR="005A26DE" w:rsidRPr="005450B1" w14:paraId="345B6284" w14:textId="77777777" w:rsidTr="005A26DE">
        <w:tc>
          <w:tcPr>
            <w:tcW w:w="895" w:type="dxa"/>
            <w:vMerge/>
          </w:tcPr>
          <w:p w14:paraId="225F5AA9" w14:textId="77777777" w:rsidR="005A26DE" w:rsidRPr="005450B1" w:rsidRDefault="005A26DE" w:rsidP="005A26DE"/>
        </w:tc>
        <w:tc>
          <w:tcPr>
            <w:tcW w:w="1170" w:type="dxa"/>
          </w:tcPr>
          <w:p w14:paraId="3F25D63E" w14:textId="77777777" w:rsidR="005A26DE" w:rsidRPr="005450B1" w:rsidRDefault="005A26DE" w:rsidP="005A26DE">
            <w:pPr>
              <w:jc w:val="center"/>
            </w:pPr>
            <w:r w:rsidRPr="005450B1">
              <w:t>300</w:t>
            </w:r>
          </w:p>
        </w:tc>
        <w:tc>
          <w:tcPr>
            <w:tcW w:w="1340" w:type="dxa"/>
          </w:tcPr>
          <w:p w14:paraId="2998E1FD" w14:textId="77777777" w:rsidR="005A26DE" w:rsidRPr="005450B1" w:rsidRDefault="005A26DE" w:rsidP="005A26DE">
            <w:pPr>
              <w:jc w:val="center"/>
            </w:pPr>
            <w:r w:rsidRPr="005450B1">
              <w:t>10000</w:t>
            </w:r>
          </w:p>
        </w:tc>
        <w:tc>
          <w:tcPr>
            <w:tcW w:w="1615" w:type="dxa"/>
          </w:tcPr>
          <w:p w14:paraId="69227C1A" w14:textId="77777777" w:rsidR="005A26DE" w:rsidRPr="005450B1" w:rsidRDefault="005A26DE" w:rsidP="005A26DE">
            <w:pPr>
              <w:jc w:val="center"/>
            </w:pPr>
            <w:r>
              <w:t>8.19128</w:t>
            </w:r>
          </w:p>
        </w:tc>
        <w:tc>
          <w:tcPr>
            <w:tcW w:w="1275" w:type="dxa"/>
          </w:tcPr>
          <w:p w14:paraId="6AFFDF70" w14:textId="77777777" w:rsidR="005A26DE" w:rsidRPr="005450B1" w:rsidRDefault="005A26DE" w:rsidP="005A26DE">
            <w:pPr>
              <w:jc w:val="center"/>
            </w:pPr>
            <w:r>
              <w:t>2.83%</w:t>
            </w:r>
          </w:p>
        </w:tc>
        <w:tc>
          <w:tcPr>
            <w:tcW w:w="1673" w:type="dxa"/>
          </w:tcPr>
          <w:p w14:paraId="752BBE66" w14:textId="77777777" w:rsidR="005A26DE" w:rsidRPr="005450B1" w:rsidRDefault="005A26DE" w:rsidP="005A26DE">
            <w:pPr>
              <w:jc w:val="center"/>
            </w:pPr>
            <w:r>
              <w:t>7.82149</w:t>
            </w:r>
          </w:p>
        </w:tc>
        <w:tc>
          <w:tcPr>
            <w:tcW w:w="1382" w:type="dxa"/>
          </w:tcPr>
          <w:p w14:paraId="2A3452DB" w14:textId="77777777" w:rsidR="005A26DE" w:rsidRPr="005450B1" w:rsidRDefault="005A26DE" w:rsidP="005A26DE">
            <w:pPr>
              <w:jc w:val="center"/>
            </w:pPr>
            <w:r>
              <w:t>1.81%</w:t>
            </w:r>
          </w:p>
        </w:tc>
      </w:tr>
      <w:tr w:rsidR="005A26DE" w:rsidRPr="005450B1" w14:paraId="35A45464" w14:textId="77777777" w:rsidTr="005A26DE">
        <w:tc>
          <w:tcPr>
            <w:tcW w:w="895" w:type="dxa"/>
            <w:vMerge/>
          </w:tcPr>
          <w:p w14:paraId="30DF3C51" w14:textId="77777777" w:rsidR="005A26DE" w:rsidRPr="005450B1" w:rsidRDefault="005A26DE" w:rsidP="005A26DE"/>
        </w:tc>
        <w:tc>
          <w:tcPr>
            <w:tcW w:w="1170" w:type="dxa"/>
          </w:tcPr>
          <w:p w14:paraId="7F19CB82" w14:textId="77777777" w:rsidR="005A26DE" w:rsidRPr="005450B1" w:rsidRDefault="005A26DE" w:rsidP="005A26DE">
            <w:pPr>
              <w:jc w:val="center"/>
            </w:pPr>
            <w:r w:rsidRPr="005450B1">
              <w:t>300</w:t>
            </w:r>
          </w:p>
        </w:tc>
        <w:tc>
          <w:tcPr>
            <w:tcW w:w="1340" w:type="dxa"/>
          </w:tcPr>
          <w:p w14:paraId="1BA1437F" w14:textId="77777777" w:rsidR="005A26DE" w:rsidRPr="005450B1" w:rsidRDefault="005A26DE" w:rsidP="005A26DE">
            <w:pPr>
              <w:jc w:val="center"/>
            </w:pPr>
            <w:r w:rsidRPr="005450B1">
              <w:t>100000</w:t>
            </w:r>
          </w:p>
        </w:tc>
        <w:tc>
          <w:tcPr>
            <w:tcW w:w="1615" w:type="dxa"/>
          </w:tcPr>
          <w:p w14:paraId="14A72FFD" w14:textId="77777777" w:rsidR="005A26DE" w:rsidRPr="005450B1" w:rsidRDefault="005A26DE" w:rsidP="005A26DE">
            <w:pPr>
              <w:jc w:val="center"/>
            </w:pPr>
            <w:r>
              <w:t>7.99066</w:t>
            </w:r>
          </w:p>
        </w:tc>
        <w:tc>
          <w:tcPr>
            <w:tcW w:w="1275" w:type="dxa"/>
          </w:tcPr>
          <w:p w14:paraId="6CE8B002" w14:textId="77777777" w:rsidR="005A26DE" w:rsidRPr="005450B1" w:rsidRDefault="005A26DE" w:rsidP="005A26DE">
            <w:pPr>
              <w:jc w:val="center"/>
            </w:pPr>
            <w:r>
              <w:t>0.32%</w:t>
            </w:r>
          </w:p>
        </w:tc>
        <w:tc>
          <w:tcPr>
            <w:tcW w:w="1673" w:type="dxa"/>
          </w:tcPr>
          <w:p w14:paraId="35B53849" w14:textId="77777777" w:rsidR="005A26DE" w:rsidRPr="005450B1" w:rsidRDefault="005A26DE" w:rsidP="005A26DE">
            <w:pPr>
              <w:jc w:val="center"/>
            </w:pPr>
            <w:r>
              <w:t>8.05391</w:t>
            </w:r>
          </w:p>
        </w:tc>
        <w:tc>
          <w:tcPr>
            <w:tcW w:w="1382" w:type="dxa"/>
          </w:tcPr>
          <w:p w14:paraId="043D103B" w14:textId="77777777" w:rsidR="005A26DE" w:rsidRPr="005450B1" w:rsidRDefault="005A26DE" w:rsidP="005A26DE">
            <w:pPr>
              <w:jc w:val="center"/>
            </w:pPr>
            <w:r>
              <w:t>1.11%</w:t>
            </w:r>
          </w:p>
        </w:tc>
      </w:tr>
      <w:tr w:rsidR="005A26DE" w:rsidRPr="005450B1" w14:paraId="60A1401F" w14:textId="77777777" w:rsidTr="005A26DE">
        <w:tc>
          <w:tcPr>
            <w:tcW w:w="895" w:type="dxa"/>
            <w:vMerge/>
          </w:tcPr>
          <w:p w14:paraId="7C465990" w14:textId="77777777" w:rsidR="005A26DE" w:rsidRPr="005450B1" w:rsidRDefault="005A26DE" w:rsidP="005A26DE"/>
        </w:tc>
        <w:tc>
          <w:tcPr>
            <w:tcW w:w="1170" w:type="dxa"/>
          </w:tcPr>
          <w:p w14:paraId="31E6F654" w14:textId="77777777" w:rsidR="005A26DE" w:rsidRPr="005450B1" w:rsidRDefault="005A26DE" w:rsidP="005A26DE">
            <w:pPr>
              <w:jc w:val="center"/>
            </w:pPr>
            <w:r w:rsidRPr="005450B1">
              <w:t>300</w:t>
            </w:r>
          </w:p>
        </w:tc>
        <w:tc>
          <w:tcPr>
            <w:tcW w:w="1340" w:type="dxa"/>
          </w:tcPr>
          <w:p w14:paraId="0484C8AA" w14:textId="77777777" w:rsidR="005A26DE" w:rsidRPr="005450B1" w:rsidRDefault="005A26DE" w:rsidP="005A26DE">
            <w:pPr>
              <w:jc w:val="center"/>
            </w:pPr>
            <w:r w:rsidRPr="005450B1">
              <w:t>1000000</w:t>
            </w:r>
          </w:p>
        </w:tc>
        <w:tc>
          <w:tcPr>
            <w:tcW w:w="1615" w:type="dxa"/>
          </w:tcPr>
          <w:p w14:paraId="7512D48E" w14:textId="77777777" w:rsidR="005A26DE" w:rsidRPr="005450B1" w:rsidRDefault="005A26DE" w:rsidP="005A26DE">
            <w:pPr>
              <w:jc w:val="center"/>
            </w:pPr>
            <w:r>
              <w:t>7.98455</w:t>
            </w:r>
          </w:p>
        </w:tc>
        <w:tc>
          <w:tcPr>
            <w:tcW w:w="1275" w:type="dxa"/>
          </w:tcPr>
          <w:p w14:paraId="6E7151A1" w14:textId="77777777" w:rsidR="005A26DE" w:rsidRPr="005450B1" w:rsidRDefault="005A26DE" w:rsidP="005A26DE">
            <w:pPr>
              <w:jc w:val="center"/>
            </w:pPr>
            <w:r>
              <w:t>0.24%</w:t>
            </w:r>
          </w:p>
        </w:tc>
        <w:tc>
          <w:tcPr>
            <w:tcW w:w="1673" w:type="dxa"/>
          </w:tcPr>
          <w:p w14:paraId="0C558C0C" w14:textId="77777777" w:rsidR="005A26DE" w:rsidRPr="005450B1" w:rsidRDefault="005A26DE" w:rsidP="005A26DE">
            <w:pPr>
              <w:jc w:val="center"/>
            </w:pPr>
            <w:r>
              <w:t>7.95239</w:t>
            </w:r>
          </w:p>
        </w:tc>
        <w:tc>
          <w:tcPr>
            <w:tcW w:w="1382" w:type="dxa"/>
          </w:tcPr>
          <w:p w14:paraId="48EA53E4" w14:textId="77777777" w:rsidR="005A26DE" w:rsidRPr="005450B1" w:rsidRDefault="005A26DE" w:rsidP="005A26DE">
            <w:pPr>
              <w:jc w:val="center"/>
            </w:pPr>
            <w:r>
              <w:t>0.27%</w:t>
            </w:r>
          </w:p>
        </w:tc>
      </w:tr>
      <w:tr w:rsidR="005A26DE" w:rsidRPr="005450B1" w14:paraId="0EC95185" w14:textId="77777777" w:rsidTr="005A26DE">
        <w:tc>
          <w:tcPr>
            <w:tcW w:w="895" w:type="dxa"/>
            <w:vMerge/>
          </w:tcPr>
          <w:p w14:paraId="2525CD7D" w14:textId="77777777" w:rsidR="005A26DE" w:rsidRPr="005450B1" w:rsidRDefault="005A26DE" w:rsidP="005A26DE"/>
        </w:tc>
        <w:tc>
          <w:tcPr>
            <w:tcW w:w="1170" w:type="dxa"/>
          </w:tcPr>
          <w:p w14:paraId="3649014A" w14:textId="77777777" w:rsidR="005A26DE" w:rsidRPr="005450B1" w:rsidRDefault="005A26DE" w:rsidP="005A26DE">
            <w:pPr>
              <w:jc w:val="center"/>
            </w:pPr>
            <w:r w:rsidRPr="005450B1">
              <w:t>600</w:t>
            </w:r>
          </w:p>
        </w:tc>
        <w:tc>
          <w:tcPr>
            <w:tcW w:w="1340" w:type="dxa"/>
          </w:tcPr>
          <w:p w14:paraId="29C3354C" w14:textId="77777777" w:rsidR="005A26DE" w:rsidRPr="005450B1" w:rsidRDefault="005A26DE" w:rsidP="005A26DE">
            <w:pPr>
              <w:jc w:val="center"/>
            </w:pPr>
            <w:r w:rsidRPr="005450B1">
              <w:t>10000</w:t>
            </w:r>
          </w:p>
        </w:tc>
        <w:tc>
          <w:tcPr>
            <w:tcW w:w="1615" w:type="dxa"/>
          </w:tcPr>
          <w:p w14:paraId="40E06E0A" w14:textId="77777777" w:rsidR="005A26DE" w:rsidRPr="005450B1" w:rsidRDefault="005A26DE" w:rsidP="005A26DE">
            <w:pPr>
              <w:jc w:val="center"/>
            </w:pPr>
            <w:r>
              <w:t>8.18155</w:t>
            </w:r>
          </w:p>
        </w:tc>
        <w:tc>
          <w:tcPr>
            <w:tcW w:w="1275" w:type="dxa"/>
          </w:tcPr>
          <w:p w14:paraId="7CEA4FC5" w14:textId="77777777" w:rsidR="005A26DE" w:rsidRPr="005450B1" w:rsidRDefault="005A26DE" w:rsidP="005A26DE">
            <w:pPr>
              <w:jc w:val="center"/>
            </w:pPr>
            <w:r>
              <w:t>2.71%</w:t>
            </w:r>
          </w:p>
        </w:tc>
        <w:tc>
          <w:tcPr>
            <w:tcW w:w="1673" w:type="dxa"/>
          </w:tcPr>
          <w:p w14:paraId="4403261D" w14:textId="77777777" w:rsidR="005A26DE" w:rsidRPr="005450B1" w:rsidRDefault="005A26DE" w:rsidP="005A26DE">
            <w:pPr>
              <w:jc w:val="center"/>
            </w:pPr>
            <w:r>
              <w:t>7.9311</w:t>
            </w:r>
          </w:p>
        </w:tc>
        <w:tc>
          <w:tcPr>
            <w:tcW w:w="1382" w:type="dxa"/>
          </w:tcPr>
          <w:p w14:paraId="47D9EF97" w14:textId="77777777" w:rsidR="005A26DE" w:rsidRPr="005450B1" w:rsidRDefault="005A26DE" w:rsidP="005A26DE">
            <w:pPr>
              <w:jc w:val="center"/>
            </w:pPr>
            <w:r>
              <w:t>0.43%</w:t>
            </w:r>
          </w:p>
        </w:tc>
      </w:tr>
      <w:tr w:rsidR="005A26DE" w:rsidRPr="005450B1" w14:paraId="0983C0A2" w14:textId="77777777" w:rsidTr="005A26DE">
        <w:tc>
          <w:tcPr>
            <w:tcW w:w="895" w:type="dxa"/>
            <w:vMerge/>
          </w:tcPr>
          <w:p w14:paraId="5C4910BD" w14:textId="77777777" w:rsidR="005A26DE" w:rsidRPr="005450B1" w:rsidRDefault="005A26DE" w:rsidP="005A26DE"/>
        </w:tc>
        <w:tc>
          <w:tcPr>
            <w:tcW w:w="1170" w:type="dxa"/>
          </w:tcPr>
          <w:p w14:paraId="7A14100D" w14:textId="77777777" w:rsidR="005A26DE" w:rsidRPr="005450B1" w:rsidRDefault="005A26DE" w:rsidP="005A26DE">
            <w:pPr>
              <w:jc w:val="center"/>
            </w:pPr>
            <w:r w:rsidRPr="005450B1">
              <w:t>600</w:t>
            </w:r>
          </w:p>
        </w:tc>
        <w:tc>
          <w:tcPr>
            <w:tcW w:w="1340" w:type="dxa"/>
          </w:tcPr>
          <w:p w14:paraId="6EB8CA6A" w14:textId="77777777" w:rsidR="005A26DE" w:rsidRPr="005450B1" w:rsidRDefault="005A26DE" w:rsidP="005A26DE">
            <w:pPr>
              <w:jc w:val="center"/>
            </w:pPr>
            <w:r w:rsidRPr="005450B1">
              <w:t>100000</w:t>
            </w:r>
          </w:p>
        </w:tc>
        <w:tc>
          <w:tcPr>
            <w:tcW w:w="1615" w:type="dxa"/>
          </w:tcPr>
          <w:p w14:paraId="423A42E9" w14:textId="77777777" w:rsidR="005A26DE" w:rsidRPr="005450B1" w:rsidRDefault="005A26DE" w:rsidP="005A26DE">
            <w:pPr>
              <w:jc w:val="center"/>
            </w:pPr>
            <w:r>
              <w:t>7.98522</w:t>
            </w:r>
          </w:p>
        </w:tc>
        <w:tc>
          <w:tcPr>
            <w:tcW w:w="1275" w:type="dxa"/>
          </w:tcPr>
          <w:p w14:paraId="5025CEF8" w14:textId="77777777" w:rsidR="005A26DE" w:rsidRPr="005450B1" w:rsidRDefault="005A26DE" w:rsidP="005A26DE">
            <w:pPr>
              <w:jc w:val="center"/>
            </w:pPr>
            <w:r>
              <w:t>0.24%</w:t>
            </w:r>
          </w:p>
        </w:tc>
        <w:tc>
          <w:tcPr>
            <w:tcW w:w="1673" w:type="dxa"/>
          </w:tcPr>
          <w:p w14:paraId="5581D044" w14:textId="77777777" w:rsidR="005A26DE" w:rsidRPr="005450B1" w:rsidRDefault="005A26DE" w:rsidP="005A26DE">
            <w:pPr>
              <w:jc w:val="center"/>
            </w:pPr>
            <w:r>
              <w:t>7.98808</w:t>
            </w:r>
          </w:p>
        </w:tc>
        <w:tc>
          <w:tcPr>
            <w:tcW w:w="1382" w:type="dxa"/>
          </w:tcPr>
          <w:p w14:paraId="701FA82D" w14:textId="77777777" w:rsidR="005A26DE" w:rsidRPr="005450B1" w:rsidRDefault="005A26DE" w:rsidP="005A26DE">
            <w:pPr>
              <w:jc w:val="center"/>
            </w:pPr>
            <w:r>
              <w:t>0.28%</w:t>
            </w:r>
          </w:p>
        </w:tc>
      </w:tr>
      <w:tr w:rsidR="005A26DE" w:rsidRPr="005450B1" w14:paraId="356C8871" w14:textId="77777777" w:rsidTr="00F841E2">
        <w:tc>
          <w:tcPr>
            <w:tcW w:w="895" w:type="dxa"/>
            <w:vMerge/>
          </w:tcPr>
          <w:p w14:paraId="1E81CB1D" w14:textId="77777777" w:rsidR="005A26DE" w:rsidRPr="005450B1" w:rsidRDefault="005A26DE" w:rsidP="005A26DE"/>
        </w:tc>
        <w:tc>
          <w:tcPr>
            <w:tcW w:w="1170" w:type="dxa"/>
            <w:shd w:val="clear" w:color="auto" w:fill="C5E0B3" w:themeFill="accent6" w:themeFillTint="66"/>
          </w:tcPr>
          <w:p w14:paraId="7459DD37" w14:textId="77777777" w:rsidR="005A26DE" w:rsidRPr="005450B1" w:rsidRDefault="005A26DE" w:rsidP="005A26DE">
            <w:pPr>
              <w:jc w:val="center"/>
            </w:pPr>
            <w:r w:rsidRPr="005450B1">
              <w:t>600</w:t>
            </w:r>
          </w:p>
        </w:tc>
        <w:tc>
          <w:tcPr>
            <w:tcW w:w="1340" w:type="dxa"/>
            <w:shd w:val="clear" w:color="auto" w:fill="C5E0B3" w:themeFill="accent6" w:themeFillTint="66"/>
          </w:tcPr>
          <w:p w14:paraId="36888456" w14:textId="77777777" w:rsidR="005A26DE" w:rsidRPr="005450B1" w:rsidRDefault="005A26DE" w:rsidP="005A26DE">
            <w:pPr>
              <w:jc w:val="center"/>
            </w:pPr>
            <w:r w:rsidRPr="005450B1">
              <w:t>1000000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2E49ACBD" w14:textId="77777777" w:rsidR="005A26DE" w:rsidRPr="005450B1" w:rsidRDefault="005A26DE" w:rsidP="005A26DE">
            <w:pPr>
              <w:jc w:val="center"/>
            </w:pPr>
            <w:r>
              <w:t>7.9605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5B748BCD" w14:textId="77777777" w:rsidR="005A26DE" w:rsidRPr="005450B1" w:rsidRDefault="005A26DE" w:rsidP="005A26DE">
            <w:pPr>
              <w:jc w:val="center"/>
            </w:pPr>
            <w:r>
              <w:t>0.06%</w:t>
            </w:r>
          </w:p>
        </w:tc>
        <w:tc>
          <w:tcPr>
            <w:tcW w:w="1673" w:type="dxa"/>
            <w:shd w:val="clear" w:color="auto" w:fill="C5E0B3" w:themeFill="accent6" w:themeFillTint="66"/>
          </w:tcPr>
          <w:p w14:paraId="212419B5" w14:textId="77777777" w:rsidR="005A26DE" w:rsidRPr="005450B1" w:rsidRDefault="005A26DE" w:rsidP="005A26DE">
            <w:pPr>
              <w:jc w:val="center"/>
            </w:pPr>
            <w:r>
              <w:t>7.97312</w:t>
            </w:r>
          </w:p>
        </w:tc>
        <w:tc>
          <w:tcPr>
            <w:tcW w:w="1382" w:type="dxa"/>
            <w:shd w:val="clear" w:color="auto" w:fill="C5E0B3" w:themeFill="accent6" w:themeFillTint="66"/>
          </w:tcPr>
          <w:p w14:paraId="00FAED41" w14:textId="77777777" w:rsidR="005A26DE" w:rsidRPr="005450B1" w:rsidRDefault="005A26DE" w:rsidP="005A26DE">
            <w:pPr>
              <w:jc w:val="center"/>
            </w:pPr>
            <w:r>
              <w:t>0.09%</w:t>
            </w:r>
          </w:p>
        </w:tc>
      </w:tr>
    </w:tbl>
    <w:bookmarkEnd w:id="0"/>
    <w:p w14:paraId="3530BD6C" w14:textId="078B8766" w:rsidR="005450B1" w:rsidRPr="005A26DE" w:rsidRDefault="005A26DE" w:rsidP="005A26DE">
      <w:pPr>
        <w:jc w:val="center"/>
        <w:rPr>
          <w:b/>
          <w:bCs/>
        </w:rPr>
      </w:pPr>
      <w:r w:rsidRPr="005A26DE">
        <w:rPr>
          <w:b/>
          <w:bCs/>
        </w:rPr>
        <w:t xml:space="preserve"> </w:t>
      </w:r>
      <w:r w:rsidR="005450B1" w:rsidRPr="005A26DE">
        <w:rPr>
          <w:b/>
          <w:bCs/>
        </w:rPr>
        <w:t>(</w:t>
      </w:r>
      <w:r w:rsidR="005450B1" w:rsidRPr="005A26DE">
        <w:rPr>
          <w:b/>
          <w:bCs/>
        </w:rPr>
        <w:t xml:space="preserve">Batch 2: </w:t>
      </w:r>
      <w:r w:rsidR="005450B1" w:rsidRPr="005A26DE">
        <w:rPr>
          <w:b/>
          <w:bCs/>
        </w:rPr>
        <w:t>The exact</w:t>
      </w:r>
      <w:r w:rsidR="00BE45C0" w:rsidRPr="005A26DE">
        <w:rPr>
          <w:b/>
          <w:bCs/>
        </w:rPr>
        <w:t xml:space="preserve"> Put</w:t>
      </w:r>
      <w:r w:rsidR="005450B1" w:rsidRPr="005A26DE">
        <w:rPr>
          <w:b/>
          <w:bCs/>
        </w:rPr>
        <w:t xml:space="preserve"> price is </w:t>
      </w:r>
      <w:r w:rsidR="00361F55" w:rsidRPr="005A26DE">
        <w:rPr>
          <w:b/>
          <w:bCs/>
        </w:rPr>
        <w:t>7.96557</w:t>
      </w:r>
      <w:r w:rsidR="00BE45C0" w:rsidRPr="005A26DE">
        <w:rPr>
          <w:b/>
          <w:bCs/>
        </w:rPr>
        <w:t xml:space="preserve">, The exact Call Price is </w:t>
      </w:r>
      <w:r w:rsidR="00ED0194" w:rsidRPr="005A26DE">
        <w:rPr>
          <w:b/>
          <w:bCs/>
        </w:rPr>
        <w:t>7.96557</w:t>
      </w:r>
      <w:r w:rsidR="005450B1" w:rsidRPr="005A26DE">
        <w:rPr>
          <w:b/>
          <w:bCs/>
        </w:rPr>
        <w:t>)</w:t>
      </w:r>
    </w:p>
    <w:p w14:paraId="26FC4EF4" w14:textId="14E3B6C5" w:rsidR="00B0399F" w:rsidRPr="005E4C02" w:rsidRDefault="00B0399F" w:rsidP="009E1757">
      <w:pPr>
        <w:pStyle w:val="NoSpacing"/>
        <w:jc w:val="both"/>
        <w:rPr>
          <w:b/>
          <w:bCs/>
        </w:rPr>
      </w:pPr>
      <w:r w:rsidRPr="005E4C02">
        <w:rPr>
          <w:b/>
          <w:bCs/>
        </w:rPr>
        <w:t xml:space="preserve">Conclusion: We can see that the relative error </w:t>
      </w:r>
      <w:r w:rsidR="007B5B8F" w:rsidRPr="005E4C02">
        <w:rPr>
          <w:b/>
          <w:bCs/>
        </w:rPr>
        <w:t>decrease while NT and NSIM increases.</w:t>
      </w:r>
      <w:r w:rsidR="005E4C02">
        <w:rPr>
          <w:b/>
          <w:bCs/>
        </w:rPr>
        <w:t xml:space="preserve"> </w:t>
      </w:r>
      <w:r w:rsidR="00FB721B">
        <w:rPr>
          <w:b/>
          <w:bCs/>
        </w:rPr>
        <w:t>The</w:t>
      </w:r>
      <w:r w:rsidR="005E4C02">
        <w:rPr>
          <w:b/>
          <w:bCs/>
        </w:rPr>
        <w:t xml:space="preserve"> accuracy increases while NT and NSIM increases.</w:t>
      </w:r>
      <w:r w:rsidR="007B5B8F" w:rsidRPr="005E4C02">
        <w:rPr>
          <w:b/>
          <w:bCs/>
        </w:rPr>
        <w:t xml:space="preserve"> </w:t>
      </w:r>
      <w:r w:rsidR="00380660" w:rsidRPr="005E4C02">
        <w:rPr>
          <w:b/>
          <w:bCs/>
        </w:rPr>
        <w:t xml:space="preserve">When setting NT to </w:t>
      </w:r>
      <w:r w:rsidR="008A56D8" w:rsidRPr="005E4C02">
        <w:rPr>
          <w:b/>
          <w:bCs/>
        </w:rPr>
        <w:t xml:space="preserve">600 and NSIM to 1000000, we can achieve </w:t>
      </w:r>
      <w:r w:rsidR="007209C7">
        <w:rPr>
          <w:b/>
          <w:bCs/>
        </w:rPr>
        <w:t>with</w:t>
      </w:r>
      <w:r w:rsidR="00E272A5" w:rsidRPr="005E4C02">
        <w:rPr>
          <w:b/>
          <w:bCs/>
        </w:rPr>
        <w:t xml:space="preserve"> accuracy above 99.9% on both batch</w:t>
      </w:r>
      <w:r w:rsidR="005E4C02" w:rsidRPr="005E4C02">
        <w:rPr>
          <w:b/>
          <w:bCs/>
        </w:rPr>
        <w:t>es’ put and call price.</w:t>
      </w:r>
      <w:r w:rsidR="00E435C7">
        <w:rPr>
          <w:b/>
          <w:bCs/>
        </w:rPr>
        <w:t xml:space="preserve"> Another observation is when </w:t>
      </w:r>
      <w:r w:rsidR="000606FF">
        <w:rPr>
          <w:b/>
          <w:bCs/>
        </w:rPr>
        <w:t>NSIM is small, lower NT can achieve higher accuracy than higher NT</w:t>
      </w:r>
      <w:r w:rsidR="00C4543E">
        <w:rPr>
          <w:b/>
          <w:bCs/>
        </w:rPr>
        <w:t>. However, when NSIM is large, higher NT can achieve higher accuracy than lower NT.</w:t>
      </w:r>
    </w:p>
    <w:p w14:paraId="171FACB1" w14:textId="2B044D37" w:rsidR="005450B1" w:rsidRDefault="00B160DE" w:rsidP="00391749">
      <w:pPr>
        <w:pStyle w:val="NoSpacing"/>
        <w:jc w:val="center"/>
        <w:rPr>
          <w:sz w:val="28"/>
          <w:szCs w:val="28"/>
          <w:bdr w:val="single" w:sz="4" w:space="0" w:color="auto"/>
        </w:rPr>
      </w:pPr>
      <w:r w:rsidRPr="00391749">
        <w:rPr>
          <w:sz w:val="28"/>
          <w:szCs w:val="28"/>
          <w:highlight w:val="yellow"/>
          <w:bdr w:val="single" w:sz="4" w:space="0" w:color="auto"/>
        </w:rPr>
        <w:t>c) Stress test for MC</w:t>
      </w:r>
    </w:p>
    <w:p w14:paraId="5F12F1DF" w14:textId="5E769CA1" w:rsidR="006D36A5" w:rsidRPr="006D36A5" w:rsidRDefault="006D36A5" w:rsidP="006D36A5">
      <w:pPr>
        <w:pStyle w:val="NoSpacing"/>
        <w:jc w:val="center"/>
        <w:rPr>
          <w:b/>
          <w:bCs/>
        </w:rPr>
      </w:pPr>
      <w:r w:rsidRPr="005A26DE">
        <w:rPr>
          <w:b/>
          <w:bCs/>
        </w:rPr>
        <w:t xml:space="preserve">(Batch </w:t>
      </w:r>
      <w:r>
        <w:rPr>
          <w:b/>
          <w:bCs/>
        </w:rPr>
        <w:t>4</w:t>
      </w:r>
      <w:r w:rsidRPr="005A26DE">
        <w:rPr>
          <w:b/>
          <w:bCs/>
        </w:rPr>
        <w:t xml:space="preserve">: The exact Put Price is </w:t>
      </w:r>
      <w:r w:rsidR="002734E2">
        <w:rPr>
          <w:b/>
          <w:bCs/>
        </w:rPr>
        <w:t>1.24750</w:t>
      </w:r>
      <w:r w:rsidRPr="005A26DE">
        <w:rPr>
          <w:b/>
          <w:bCs/>
        </w:rPr>
        <w:t xml:space="preserve">, The exact Call Price is </w:t>
      </w:r>
      <w:r w:rsidR="00383E2F">
        <w:rPr>
          <w:b/>
          <w:bCs/>
        </w:rPr>
        <w:t>92.17570</w:t>
      </w:r>
      <w:r w:rsidRPr="005A26DE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170"/>
        <w:gridCol w:w="1350"/>
        <w:gridCol w:w="1620"/>
        <w:gridCol w:w="1260"/>
        <w:gridCol w:w="1719"/>
        <w:gridCol w:w="1336"/>
      </w:tblGrid>
      <w:tr w:rsidR="0041186E" w14:paraId="73110A46" w14:textId="77777777" w:rsidTr="00737E05">
        <w:tc>
          <w:tcPr>
            <w:tcW w:w="895" w:type="dxa"/>
            <w:vMerge w:val="restart"/>
          </w:tcPr>
          <w:p w14:paraId="24B8AC56" w14:textId="75D8A234" w:rsidR="0041186E" w:rsidRDefault="0041186E" w:rsidP="0041186E">
            <w:pPr>
              <w:pStyle w:val="NoSpacing"/>
            </w:pPr>
            <w:r w:rsidRPr="005450B1">
              <w:t xml:space="preserve">Batch </w:t>
            </w:r>
            <w:r>
              <w:t>4</w:t>
            </w:r>
          </w:p>
        </w:tc>
        <w:tc>
          <w:tcPr>
            <w:tcW w:w="1170" w:type="dxa"/>
          </w:tcPr>
          <w:p w14:paraId="5BB814BD" w14:textId="0E311CE8" w:rsidR="0041186E" w:rsidRDefault="0041186E" w:rsidP="0041186E">
            <w:pPr>
              <w:pStyle w:val="NoSpacing"/>
            </w:pPr>
            <w:r w:rsidRPr="005450B1">
              <w:t>NT</w:t>
            </w:r>
          </w:p>
        </w:tc>
        <w:tc>
          <w:tcPr>
            <w:tcW w:w="1350" w:type="dxa"/>
          </w:tcPr>
          <w:p w14:paraId="40008B06" w14:textId="0D2EACC0" w:rsidR="0041186E" w:rsidRDefault="0041186E" w:rsidP="0041186E">
            <w:pPr>
              <w:pStyle w:val="NoSpacing"/>
            </w:pPr>
            <w:r w:rsidRPr="005450B1">
              <w:t>NSIM</w:t>
            </w:r>
          </w:p>
        </w:tc>
        <w:tc>
          <w:tcPr>
            <w:tcW w:w="1620" w:type="dxa"/>
          </w:tcPr>
          <w:p w14:paraId="6FE24263" w14:textId="52A60BA1" w:rsidR="0041186E" w:rsidRDefault="0041186E" w:rsidP="0041186E">
            <w:pPr>
              <w:pStyle w:val="NoSpacing"/>
            </w:pPr>
            <w:r w:rsidRPr="005450B1">
              <w:t xml:space="preserve">Simulated </w:t>
            </w:r>
            <w:r>
              <w:t>Put</w:t>
            </w:r>
          </w:p>
        </w:tc>
        <w:tc>
          <w:tcPr>
            <w:tcW w:w="1260" w:type="dxa"/>
          </w:tcPr>
          <w:p w14:paraId="5619CEAB" w14:textId="4718FD13" w:rsidR="0041186E" w:rsidRDefault="0041186E" w:rsidP="0041186E">
            <w:pPr>
              <w:pStyle w:val="NoSpacing"/>
            </w:pPr>
            <w:r w:rsidRPr="005450B1">
              <w:t>Rela</w:t>
            </w:r>
            <w:r>
              <w:t>tive</w:t>
            </w:r>
            <w:r w:rsidRPr="005450B1">
              <w:t xml:space="preserve"> Err</w:t>
            </w:r>
          </w:p>
        </w:tc>
        <w:tc>
          <w:tcPr>
            <w:tcW w:w="1719" w:type="dxa"/>
          </w:tcPr>
          <w:p w14:paraId="371A55F5" w14:textId="24B196B9" w:rsidR="0041186E" w:rsidRDefault="0041186E" w:rsidP="0041186E">
            <w:pPr>
              <w:pStyle w:val="NoSpacing"/>
            </w:pPr>
            <w:r w:rsidRPr="005450B1">
              <w:t xml:space="preserve">Simulated </w:t>
            </w:r>
            <w:r>
              <w:t>Call</w:t>
            </w:r>
          </w:p>
        </w:tc>
        <w:tc>
          <w:tcPr>
            <w:tcW w:w="1336" w:type="dxa"/>
          </w:tcPr>
          <w:p w14:paraId="086057B2" w14:textId="4BF0025C" w:rsidR="0041186E" w:rsidRDefault="0041186E" w:rsidP="0041186E">
            <w:pPr>
              <w:pStyle w:val="NoSpacing"/>
            </w:pPr>
            <w:r w:rsidRPr="005450B1">
              <w:t>Rela</w:t>
            </w:r>
            <w:r>
              <w:t>tive</w:t>
            </w:r>
            <w:r w:rsidRPr="005450B1">
              <w:t xml:space="preserve"> Err</w:t>
            </w:r>
          </w:p>
        </w:tc>
      </w:tr>
      <w:tr w:rsidR="0041186E" w14:paraId="3B1D1606" w14:textId="77777777" w:rsidTr="00737E05">
        <w:tc>
          <w:tcPr>
            <w:tcW w:w="895" w:type="dxa"/>
            <w:vMerge/>
          </w:tcPr>
          <w:p w14:paraId="6FC40BA0" w14:textId="77777777" w:rsidR="0041186E" w:rsidRDefault="0041186E" w:rsidP="0041186E">
            <w:pPr>
              <w:pStyle w:val="NoSpacing"/>
            </w:pPr>
          </w:p>
        </w:tc>
        <w:tc>
          <w:tcPr>
            <w:tcW w:w="1170" w:type="dxa"/>
          </w:tcPr>
          <w:p w14:paraId="4EFEDE0E" w14:textId="31C20114" w:rsidR="0041186E" w:rsidRDefault="001F4352" w:rsidP="006D36A5">
            <w:pPr>
              <w:pStyle w:val="NoSpacing"/>
              <w:jc w:val="center"/>
            </w:pPr>
            <w:r>
              <w:t>1</w:t>
            </w:r>
            <w:r w:rsidR="00F841E2">
              <w:t>00</w:t>
            </w:r>
          </w:p>
        </w:tc>
        <w:tc>
          <w:tcPr>
            <w:tcW w:w="1350" w:type="dxa"/>
          </w:tcPr>
          <w:p w14:paraId="22998C57" w14:textId="2F06075E" w:rsidR="0041186E" w:rsidRDefault="00F841E2" w:rsidP="006D36A5">
            <w:pPr>
              <w:pStyle w:val="NoSpacing"/>
              <w:jc w:val="center"/>
            </w:pPr>
            <w:r>
              <w:t>100000</w:t>
            </w:r>
          </w:p>
        </w:tc>
        <w:tc>
          <w:tcPr>
            <w:tcW w:w="1620" w:type="dxa"/>
          </w:tcPr>
          <w:p w14:paraId="77A9A37E" w14:textId="75196428" w:rsidR="0041186E" w:rsidRDefault="005A5E6D" w:rsidP="006D36A5">
            <w:pPr>
              <w:pStyle w:val="NoSpacing"/>
              <w:jc w:val="center"/>
            </w:pPr>
            <w:r>
              <w:t>1.29604</w:t>
            </w:r>
          </w:p>
        </w:tc>
        <w:tc>
          <w:tcPr>
            <w:tcW w:w="1260" w:type="dxa"/>
          </w:tcPr>
          <w:p w14:paraId="41F21A53" w14:textId="7656FA95" w:rsidR="0041186E" w:rsidRDefault="005A5E6D" w:rsidP="006D36A5">
            <w:pPr>
              <w:pStyle w:val="NoSpacing"/>
              <w:jc w:val="center"/>
            </w:pPr>
            <w:r>
              <w:t>3.29</w:t>
            </w:r>
            <w:r w:rsidR="00C432F7">
              <w:t>%</w:t>
            </w:r>
          </w:p>
        </w:tc>
        <w:tc>
          <w:tcPr>
            <w:tcW w:w="1719" w:type="dxa"/>
          </w:tcPr>
          <w:p w14:paraId="7FE8BE3C" w14:textId="1F0F4234" w:rsidR="0041186E" w:rsidRDefault="002734E2" w:rsidP="006D36A5">
            <w:pPr>
              <w:pStyle w:val="NoSpacing"/>
              <w:jc w:val="center"/>
            </w:pPr>
            <w:r>
              <w:t>89.4248</w:t>
            </w:r>
          </w:p>
        </w:tc>
        <w:tc>
          <w:tcPr>
            <w:tcW w:w="1336" w:type="dxa"/>
          </w:tcPr>
          <w:p w14:paraId="1ED70D11" w14:textId="4F026125" w:rsidR="0041186E" w:rsidRDefault="00B65267" w:rsidP="006D36A5">
            <w:pPr>
              <w:pStyle w:val="NoSpacing"/>
              <w:jc w:val="center"/>
            </w:pPr>
            <w:r>
              <w:t>2.98%</w:t>
            </w:r>
          </w:p>
        </w:tc>
      </w:tr>
      <w:tr w:rsidR="0041186E" w14:paraId="09AB3E68" w14:textId="77777777" w:rsidTr="00737E05">
        <w:tc>
          <w:tcPr>
            <w:tcW w:w="895" w:type="dxa"/>
            <w:vMerge/>
          </w:tcPr>
          <w:p w14:paraId="65E2BDA4" w14:textId="77777777" w:rsidR="0041186E" w:rsidRDefault="0041186E" w:rsidP="0041186E">
            <w:pPr>
              <w:pStyle w:val="NoSpacing"/>
            </w:pPr>
          </w:p>
        </w:tc>
        <w:tc>
          <w:tcPr>
            <w:tcW w:w="1170" w:type="dxa"/>
          </w:tcPr>
          <w:p w14:paraId="46923823" w14:textId="517DC4FE" w:rsidR="0041186E" w:rsidRDefault="001F4352" w:rsidP="006D36A5">
            <w:pPr>
              <w:pStyle w:val="NoSpacing"/>
              <w:jc w:val="center"/>
            </w:pPr>
            <w:r>
              <w:t>1</w:t>
            </w:r>
            <w:r w:rsidR="00F841E2">
              <w:t>00</w:t>
            </w:r>
          </w:p>
        </w:tc>
        <w:tc>
          <w:tcPr>
            <w:tcW w:w="1350" w:type="dxa"/>
          </w:tcPr>
          <w:p w14:paraId="72805E58" w14:textId="1376C3F1" w:rsidR="0041186E" w:rsidRDefault="00092A1B" w:rsidP="006D36A5">
            <w:pPr>
              <w:pStyle w:val="NoSpacing"/>
              <w:jc w:val="center"/>
            </w:pPr>
            <w:r>
              <w:t>1</w:t>
            </w:r>
            <w:r w:rsidR="00F841E2">
              <w:t>000000</w:t>
            </w:r>
          </w:p>
        </w:tc>
        <w:tc>
          <w:tcPr>
            <w:tcW w:w="1620" w:type="dxa"/>
          </w:tcPr>
          <w:p w14:paraId="41B048AF" w14:textId="61E01065" w:rsidR="0041186E" w:rsidRDefault="00E8254F" w:rsidP="006D36A5">
            <w:pPr>
              <w:pStyle w:val="NoSpacing"/>
              <w:jc w:val="center"/>
            </w:pPr>
            <w:r>
              <w:t>1.29275</w:t>
            </w:r>
          </w:p>
        </w:tc>
        <w:tc>
          <w:tcPr>
            <w:tcW w:w="1260" w:type="dxa"/>
          </w:tcPr>
          <w:p w14:paraId="22E13F03" w14:textId="73B5132A" w:rsidR="0041186E" w:rsidRDefault="00E8254F" w:rsidP="006D36A5">
            <w:pPr>
              <w:pStyle w:val="NoSpacing"/>
              <w:jc w:val="center"/>
            </w:pPr>
            <w:r>
              <w:t>3.63%</w:t>
            </w:r>
          </w:p>
        </w:tc>
        <w:tc>
          <w:tcPr>
            <w:tcW w:w="1719" w:type="dxa"/>
          </w:tcPr>
          <w:p w14:paraId="363B1CF9" w14:textId="6D47C1C1" w:rsidR="0041186E" w:rsidRDefault="00B65267" w:rsidP="006D36A5">
            <w:pPr>
              <w:pStyle w:val="NoSpacing"/>
              <w:jc w:val="center"/>
            </w:pPr>
            <w:r>
              <w:t>89.5241</w:t>
            </w:r>
          </w:p>
        </w:tc>
        <w:tc>
          <w:tcPr>
            <w:tcW w:w="1336" w:type="dxa"/>
          </w:tcPr>
          <w:p w14:paraId="14D34FDB" w14:textId="6EA4B005" w:rsidR="0041186E" w:rsidRDefault="000B2A4D" w:rsidP="006D36A5">
            <w:pPr>
              <w:pStyle w:val="NoSpacing"/>
              <w:jc w:val="center"/>
            </w:pPr>
            <w:r>
              <w:t>2.88%</w:t>
            </w:r>
          </w:p>
        </w:tc>
      </w:tr>
      <w:tr w:rsidR="0041186E" w14:paraId="1B30583C" w14:textId="77777777" w:rsidTr="00E866B3">
        <w:tc>
          <w:tcPr>
            <w:tcW w:w="895" w:type="dxa"/>
            <w:vMerge/>
          </w:tcPr>
          <w:p w14:paraId="0985D7F4" w14:textId="77777777" w:rsidR="0041186E" w:rsidRDefault="0041186E" w:rsidP="0041186E">
            <w:pPr>
              <w:pStyle w:val="NoSpacing"/>
            </w:pPr>
          </w:p>
        </w:tc>
        <w:tc>
          <w:tcPr>
            <w:tcW w:w="1170" w:type="dxa"/>
          </w:tcPr>
          <w:p w14:paraId="6EBA59A5" w14:textId="1F212CDB" w:rsidR="0041186E" w:rsidRDefault="00F841E2" w:rsidP="006D36A5">
            <w:pPr>
              <w:pStyle w:val="NoSpacing"/>
              <w:jc w:val="center"/>
            </w:pPr>
            <w:r>
              <w:t>600</w:t>
            </w:r>
          </w:p>
        </w:tc>
        <w:tc>
          <w:tcPr>
            <w:tcW w:w="1350" w:type="dxa"/>
          </w:tcPr>
          <w:p w14:paraId="7E0DFD02" w14:textId="15556FD3" w:rsidR="0041186E" w:rsidRDefault="00F841E2" w:rsidP="006D36A5">
            <w:pPr>
              <w:pStyle w:val="NoSpacing"/>
              <w:jc w:val="center"/>
            </w:pPr>
            <w:r>
              <w:t>100000</w:t>
            </w:r>
          </w:p>
        </w:tc>
        <w:tc>
          <w:tcPr>
            <w:tcW w:w="1620" w:type="dxa"/>
          </w:tcPr>
          <w:p w14:paraId="79B02F7B" w14:textId="39EC9021" w:rsidR="0041186E" w:rsidRDefault="00101C7E" w:rsidP="006D36A5">
            <w:pPr>
              <w:pStyle w:val="NoSpacing"/>
              <w:jc w:val="center"/>
            </w:pPr>
            <w:r>
              <w:t>1.26075</w:t>
            </w:r>
          </w:p>
        </w:tc>
        <w:tc>
          <w:tcPr>
            <w:tcW w:w="1260" w:type="dxa"/>
          </w:tcPr>
          <w:p w14:paraId="771A8854" w14:textId="5E69A7CF" w:rsidR="0041186E" w:rsidRDefault="00AC35D5" w:rsidP="006D36A5">
            <w:pPr>
              <w:pStyle w:val="NoSpacing"/>
              <w:jc w:val="center"/>
            </w:pPr>
            <w:r>
              <w:t>1.06%</w:t>
            </w:r>
          </w:p>
        </w:tc>
        <w:tc>
          <w:tcPr>
            <w:tcW w:w="1719" w:type="dxa"/>
            <w:shd w:val="clear" w:color="auto" w:fill="C5E0B3" w:themeFill="accent6" w:themeFillTint="66"/>
          </w:tcPr>
          <w:p w14:paraId="4FECE817" w14:textId="211625C4" w:rsidR="0041186E" w:rsidRDefault="00F368D9" w:rsidP="006D36A5">
            <w:pPr>
              <w:pStyle w:val="NoSpacing"/>
              <w:jc w:val="center"/>
            </w:pPr>
            <w:r>
              <w:t>92.1948</w:t>
            </w:r>
          </w:p>
        </w:tc>
        <w:tc>
          <w:tcPr>
            <w:tcW w:w="1336" w:type="dxa"/>
            <w:shd w:val="clear" w:color="auto" w:fill="C5E0B3" w:themeFill="accent6" w:themeFillTint="66"/>
          </w:tcPr>
          <w:p w14:paraId="4E9091A5" w14:textId="37926068" w:rsidR="0041186E" w:rsidRDefault="00D57948" w:rsidP="006D36A5">
            <w:pPr>
              <w:pStyle w:val="NoSpacing"/>
              <w:jc w:val="center"/>
            </w:pPr>
            <w:r>
              <w:t>0.</w:t>
            </w:r>
            <w:r w:rsidR="00E866B3">
              <w:t>0</w:t>
            </w:r>
            <w:r>
              <w:t>2</w:t>
            </w:r>
            <w:r w:rsidR="00FE6F05">
              <w:t>%</w:t>
            </w:r>
          </w:p>
        </w:tc>
      </w:tr>
      <w:tr w:rsidR="0041186E" w14:paraId="452938ED" w14:textId="77777777" w:rsidTr="00E866B3">
        <w:tc>
          <w:tcPr>
            <w:tcW w:w="895" w:type="dxa"/>
            <w:vMerge/>
          </w:tcPr>
          <w:p w14:paraId="28B5C1DA" w14:textId="77777777" w:rsidR="0041186E" w:rsidRDefault="0041186E" w:rsidP="0041186E">
            <w:pPr>
              <w:pStyle w:val="NoSpacing"/>
            </w:pPr>
          </w:p>
        </w:tc>
        <w:tc>
          <w:tcPr>
            <w:tcW w:w="1170" w:type="dxa"/>
          </w:tcPr>
          <w:p w14:paraId="5FDA89AE" w14:textId="56A3FAE3" w:rsidR="0041186E" w:rsidRDefault="00F841E2" w:rsidP="006D36A5">
            <w:pPr>
              <w:pStyle w:val="NoSpacing"/>
              <w:jc w:val="center"/>
            </w:pPr>
            <w:r>
              <w:t>600</w:t>
            </w:r>
          </w:p>
        </w:tc>
        <w:tc>
          <w:tcPr>
            <w:tcW w:w="1350" w:type="dxa"/>
          </w:tcPr>
          <w:p w14:paraId="5DE0CEF9" w14:textId="2F75D5AA" w:rsidR="0041186E" w:rsidRDefault="00092A1B" w:rsidP="006D36A5">
            <w:pPr>
              <w:pStyle w:val="NoSpacing"/>
              <w:jc w:val="center"/>
            </w:pPr>
            <w:r>
              <w:t>1</w:t>
            </w:r>
            <w:r w:rsidR="00F841E2">
              <w:t>000000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1470FC7A" w14:textId="77F599F9" w:rsidR="0041186E" w:rsidRDefault="004E7F57" w:rsidP="006D36A5">
            <w:pPr>
              <w:pStyle w:val="NoSpacing"/>
              <w:jc w:val="center"/>
            </w:pPr>
            <w:r>
              <w:t>1.25442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4D929BE0" w14:textId="3725ACA1" w:rsidR="0041186E" w:rsidRDefault="004230DC" w:rsidP="006D36A5">
            <w:pPr>
              <w:pStyle w:val="NoSpacing"/>
              <w:jc w:val="center"/>
            </w:pPr>
            <w:r>
              <w:t>0.55%</w:t>
            </w:r>
          </w:p>
        </w:tc>
        <w:tc>
          <w:tcPr>
            <w:tcW w:w="1719" w:type="dxa"/>
          </w:tcPr>
          <w:p w14:paraId="0C72CC20" w14:textId="7ABED2F5" w:rsidR="0041186E" w:rsidRDefault="00D903B1" w:rsidP="006D36A5">
            <w:pPr>
              <w:pStyle w:val="NoSpacing"/>
              <w:jc w:val="center"/>
            </w:pPr>
            <w:r>
              <w:t>91.5996</w:t>
            </w:r>
          </w:p>
        </w:tc>
        <w:tc>
          <w:tcPr>
            <w:tcW w:w="1336" w:type="dxa"/>
          </w:tcPr>
          <w:p w14:paraId="2B0DA2BF" w14:textId="6B8FB4EA" w:rsidR="0041186E" w:rsidRDefault="00D903B1" w:rsidP="006D36A5">
            <w:pPr>
              <w:pStyle w:val="NoSpacing"/>
              <w:jc w:val="center"/>
            </w:pPr>
            <w:r>
              <w:t>0.63%</w:t>
            </w:r>
          </w:p>
        </w:tc>
      </w:tr>
    </w:tbl>
    <w:p w14:paraId="67DEBAB0" w14:textId="0C8ED341" w:rsidR="001066F7" w:rsidRPr="00F43D77" w:rsidRDefault="00622BA1" w:rsidP="00F43D77">
      <w:pPr>
        <w:jc w:val="both"/>
        <w:rPr>
          <w:b/>
          <w:bCs/>
        </w:rPr>
      </w:pPr>
      <w:r w:rsidRPr="009E1757">
        <w:rPr>
          <w:b/>
          <w:bCs/>
        </w:rPr>
        <w:t>W</w:t>
      </w:r>
      <w:r w:rsidR="00D52383" w:rsidRPr="009E1757">
        <w:rPr>
          <w:b/>
          <w:bCs/>
        </w:rPr>
        <w:t xml:space="preserve">e find the performance in this test is less stable than the performance in the previous test. However, we can still observe </w:t>
      </w:r>
      <w:r w:rsidR="00EC2642" w:rsidRPr="009E1757">
        <w:rPr>
          <w:b/>
          <w:bCs/>
        </w:rPr>
        <w:t xml:space="preserve">general trends that accuracy improves while </w:t>
      </w:r>
      <w:r w:rsidR="009E1757" w:rsidRPr="009E1757">
        <w:rPr>
          <w:b/>
          <w:bCs/>
        </w:rPr>
        <w:t>NT and NSIM increases.</w:t>
      </w:r>
      <w:r w:rsidR="009E1757">
        <w:rPr>
          <w:b/>
          <w:bCs/>
        </w:rPr>
        <w:t xml:space="preserve"> The best accuracy we achieved for Put Price is </w:t>
      </w:r>
      <w:r w:rsidR="007B0B0B">
        <w:rPr>
          <w:b/>
          <w:bCs/>
        </w:rPr>
        <w:t xml:space="preserve">99.45% with NT=600 and NSIM=1000000 and for </w:t>
      </w:r>
      <w:r w:rsidR="001E1DDD">
        <w:rPr>
          <w:b/>
          <w:bCs/>
        </w:rPr>
        <w:t>Call Price is 99.98% with NT=600 and NSIM=100000.</w:t>
      </w:r>
      <w:bookmarkStart w:id="1" w:name="_GoBack"/>
      <w:bookmarkEnd w:id="1"/>
    </w:p>
    <w:sectPr w:rsidR="001066F7" w:rsidRPr="00F4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D3"/>
    <w:rsid w:val="000606FF"/>
    <w:rsid w:val="000859F2"/>
    <w:rsid w:val="00092A1B"/>
    <w:rsid w:val="000B2A4D"/>
    <w:rsid w:val="000C7B55"/>
    <w:rsid w:val="000D73CB"/>
    <w:rsid w:val="00101C7E"/>
    <w:rsid w:val="001066F7"/>
    <w:rsid w:val="001149E5"/>
    <w:rsid w:val="001265F2"/>
    <w:rsid w:val="001506F0"/>
    <w:rsid w:val="001847F1"/>
    <w:rsid w:val="001B03DF"/>
    <w:rsid w:val="001B3A12"/>
    <w:rsid w:val="001E1DDD"/>
    <w:rsid w:val="001F4352"/>
    <w:rsid w:val="002734E2"/>
    <w:rsid w:val="002E3847"/>
    <w:rsid w:val="002F451C"/>
    <w:rsid w:val="003114EB"/>
    <w:rsid w:val="00317296"/>
    <w:rsid w:val="00361F55"/>
    <w:rsid w:val="00380660"/>
    <w:rsid w:val="00383E2F"/>
    <w:rsid w:val="00391749"/>
    <w:rsid w:val="003A23FA"/>
    <w:rsid w:val="003D77A3"/>
    <w:rsid w:val="0041186E"/>
    <w:rsid w:val="00421FBD"/>
    <w:rsid w:val="004230DC"/>
    <w:rsid w:val="00436B47"/>
    <w:rsid w:val="00441DD3"/>
    <w:rsid w:val="0046114C"/>
    <w:rsid w:val="004B3622"/>
    <w:rsid w:val="004E7F57"/>
    <w:rsid w:val="00502CBF"/>
    <w:rsid w:val="005450B1"/>
    <w:rsid w:val="00552BEF"/>
    <w:rsid w:val="005718EF"/>
    <w:rsid w:val="005933B1"/>
    <w:rsid w:val="005A26DE"/>
    <w:rsid w:val="005A5E6D"/>
    <w:rsid w:val="005E2DCD"/>
    <w:rsid w:val="005E4C02"/>
    <w:rsid w:val="006021BB"/>
    <w:rsid w:val="00613686"/>
    <w:rsid w:val="00622BA1"/>
    <w:rsid w:val="00637A06"/>
    <w:rsid w:val="00642098"/>
    <w:rsid w:val="006437D3"/>
    <w:rsid w:val="00654E29"/>
    <w:rsid w:val="006A1BEA"/>
    <w:rsid w:val="006A5BB4"/>
    <w:rsid w:val="006B0446"/>
    <w:rsid w:val="006B40E1"/>
    <w:rsid w:val="006D36A5"/>
    <w:rsid w:val="006F3157"/>
    <w:rsid w:val="006F5E95"/>
    <w:rsid w:val="007209C7"/>
    <w:rsid w:val="00737E05"/>
    <w:rsid w:val="007939EE"/>
    <w:rsid w:val="007972D6"/>
    <w:rsid w:val="007A3C3B"/>
    <w:rsid w:val="007B0B0B"/>
    <w:rsid w:val="007B5B8F"/>
    <w:rsid w:val="008705B4"/>
    <w:rsid w:val="008A56D8"/>
    <w:rsid w:val="008C794D"/>
    <w:rsid w:val="009430D7"/>
    <w:rsid w:val="00954708"/>
    <w:rsid w:val="0098013F"/>
    <w:rsid w:val="00980EEF"/>
    <w:rsid w:val="009E1757"/>
    <w:rsid w:val="00A23761"/>
    <w:rsid w:val="00A31702"/>
    <w:rsid w:val="00AB1A60"/>
    <w:rsid w:val="00AC35D5"/>
    <w:rsid w:val="00B0399F"/>
    <w:rsid w:val="00B160DE"/>
    <w:rsid w:val="00B216D4"/>
    <w:rsid w:val="00B35D13"/>
    <w:rsid w:val="00B65267"/>
    <w:rsid w:val="00BE45C0"/>
    <w:rsid w:val="00C432F7"/>
    <w:rsid w:val="00C4543E"/>
    <w:rsid w:val="00C74B3D"/>
    <w:rsid w:val="00C95657"/>
    <w:rsid w:val="00CA151A"/>
    <w:rsid w:val="00D52383"/>
    <w:rsid w:val="00D5349F"/>
    <w:rsid w:val="00D57948"/>
    <w:rsid w:val="00D903B1"/>
    <w:rsid w:val="00D970D0"/>
    <w:rsid w:val="00E272A5"/>
    <w:rsid w:val="00E435C7"/>
    <w:rsid w:val="00E720D9"/>
    <w:rsid w:val="00E736CA"/>
    <w:rsid w:val="00E8254F"/>
    <w:rsid w:val="00E866B3"/>
    <w:rsid w:val="00EC2642"/>
    <w:rsid w:val="00ED0194"/>
    <w:rsid w:val="00EE0057"/>
    <w:rsid w:val="00EF6473"/>
    <w:rsid w:val="00F1450A"/>
    <w:rsid w:val="00F368D9"/>
    <w:rsid w:val="00F43D77"/>
    <w:rsid w:val="00F715F6"/>
    <w:rsid w:val="00F841E2"/>
    <w:rsid w:val="00F97EAF"/>
    <w:rsid w:val="00FB721B"/>
    <w:rsid w:val="00FE3EEA"/>
    <w:rsid w:val="00FE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869B"/>
  <w15:chartTrackingRefBased/>
  <w15:docId w15:val="{39D009AA-5184-4E37-8178-55E7B8D4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4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6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Jiayuan</dc:creator>
  <cp:keywords/>
  <dc:description/>
  <cp:lastModifiedBy>Li Jiayuan</cp:lastModifiedBy>
  <cp:revision>112</cp:revision>
  <cp:lastPrinted>2020-03-09T01:36:00Z</cp:lastPrinted>
  <dcterms:created xsi:type="dcterms:W3CDTF">2020-03-08T21:28:00Z</dcterms:created>
  <dcterms:modified xsi:type="dcterms:W3CDTF">2020-03-09T01:37:00Z</dcterms:modified>
</cp:coreProperties>
</file>