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0BBF5" w14:textId="48247492" w:rsidR="00E454D8" w:rsidRPr="007939EE" w:rsidRDefault="00E454D8" w:rsidP="00E454D8">
      <w:pPr>
        <w:jc w:val="center"/>
        <w:rPr>
          <w:b/>
          <w:bCs/>
          <w:sz w:val="40"/>
          <w:szCs w:val="40"/>
        </w:rPr>
      </w:pPr>
      <w:r w:rsidRPr="007939EE">
        <w:rPr>
          <w:b/>
          <w:bCs/>
          <w:sz w:val="40"/>
          <w:szCs w:val="40"/>
        </w:rPr>
        <w:t>======HW 9.</w:t>
      </w:r>
      <w:r w:rsidR="004219EF">
        <w:rPr>
          <w:b/>
          <w:bCs/>
          <w:sz w:val="40"/>
          <w:szCs w:val="40"/>
        </w:rPr>
        <w:t>F</w:t>
      </w:r>
      <w:r w:rsidRPr="007939EE">
        <w:rPr>
          <w:b/>
          <w:bCs/>
          <w:sz w:val="40"/>
          <w:szCs w:val="40"/>
        </w:rPr>
        <w:t xml:space="preserve"> Report======</w:t>
      </w:r>
    </w:p>
    <w:p w14:paraId="6337567B" w14:textId="77777777" w:rsidR="00E454D8" w:rsidRDefault="00E454D8" w:rsidP="00E454D8">
      <w:pPr>
        <w:jc w:val="center"/>
        <w:rPr>
          <w:sz w:val="28"/>
          <w:szCs w:val="28"/>
        </w:rPr>
      </w:pPr>
      <w:r w:rsidRPr="007939EE">
        <w:rPr>
          <w:sz w:val="28"/>
          <w:szCs w:val="28"/>
        </w:rPr>
        <w:t>Jiayuan Li</w:t>
      </w:r>
    </w:p>
    <w:p w14:paraId="65AC6F0D" w14:textId="5D2C65FC" w:rsidR="005A6B59" w:rsidRPr="00391749" w:rsidRDefault="005A6B59" w:rsidP="005A6B59">
      <w:pPr>
        <w:pStyle w:val="NoSpacing"/>
        <w:jc w:val="center"/>
        <w:rPr>
          <w:sz w:val="28"/>
          <w:szCs w:val="28"/>
          <w:bdr w:val="single" w:sz="4" w:space="0" w:color="auto"/>
        </w:rPr>
      </w:pPr>
      <w:r>
        <w:rPr>
          <w:sz w:val="28"/>
          <w:szCs w:val="28"/>
          <w:highlight w:val="yellow"/>
          <w:bdr w:val="single" w:sz="4" w:space="0" w:color="auto"/>
        </w:rPr>
        <w:t>a</w:t>
      </w:r>
      <w:r w:rsidRPr="00A336B6">
        <w:rPr>
          <w:sz w:val="28"/>
          <w:szCs w:val="28"/>
          <w:highlight w:val="yellow"/>
          <w:bdr w:val="single" w:sz="4" w:space="0" w:color="auto"/>
        </w:rPr>
        <w:t>) FDM Method</w:t>
      </w:r>
    </w:p>
    <w:p w14:paraId="0F03F86A" w14:textId="77777777" w:rsidR="00503550" w:rsidRDefault="00503550" w:rsidP="00E454D8">
      <w:pPr>
        <w:pStyle w:val="NoSpacing"/>
        <w:jc w:val="center"/>
        <w:rPr>
          <w:sz w:val="28"/>
          <w:szCs w:val="28"/>
          <w:highlight w:val="yellow"/>
          <w:bdr w:val="single" w:sz="4" w:space="0" w:color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6E9E" w14:paraId="26282F2A" w14:textId="77777777" w:rsidTr="00547674">
        <w:tc>
          <w:tcPr>
            <w:tcW w:w="3116" w:type="dxa"/>
          </w:tcPr>
          <w:p w14:paraId="6237C37D" w14:textId="1EDB0297" w:rsidR="00EE6E9E" w:rsidRDefault="00EE6E9E" w:rsidP="00547674">
            <w:pPr>
              <w:jc w:val="center"/>
            </w:pPr>
            <w:r>
              <w:t>Batch#</w:t>
            </w:r>
            <w:r w:rsidR="00503550">
              <w:t xml:space="preserve"> (N set to 9999)</w:t>
            </w:r>
          </w:p>
        </w:tc>
        <w:tc>
          <w:tcPr>
            <w:tcW w:w="3117" w:type="dxa"/>
          </w:tcPr>
          <w:p w14:paraId="10537731" w14:textId="20C48534" w:rsidR="00EE6E9E" w:rsidRPr="00547674" w:rsidRDefault="00EE6E9E" w:rsidP="00547674">
            <w:pPr>
              <w:jc w:val="center"/>
            </w:pPr>
            <w:r>
              <w:t>Value Given By FDM</w:t>
            </w:r>
          </w:p>
        </w:tc>
        <w:tc>
          <w:tcPr>
            <w:tcW w:w="3117" w:type="dxa"/>
          </w:tcPr>
          <w:p w14:paraId="6D10520A" w14:textId="13F9153E" w:rsidR="00EE6E9E" w:rsidRPr="00547674" w:rsidRDefault="00EE6E9E" w:rsidP="00547674">
            <w:pPr>
              <w:jc w:val="center"/>
            </w:pPr>
            <w:r>
              <w:t>Real Value</w:t>
            </w:r>
          </w:p>
        </w:tc>
      </w:tr>
      <w:tr w:rsidR="00547674" w14:paraId="15864CF9" w14:textId="77777777" w:rsidTr="00547674">
        <w:tc>
          <w:tcPr>
            <w:tcW w:w="3116" w:type="dxa"/>
          </w:tcPr>
          <w:p w14:paraId="4B357888" w14:textId="182A0C31" w:rsidR="00547674" w:rsidRPr="00547674" w:rsidRDefault="00547674" w:rsidP="00547674">
            <w:pPr>
              <w:jc w:val="center"/>
            </w:pPr>
            <w:r>
              <w:t>Batch1</w:t>
            </w:r>
          </w:p>
        </w:tc>
        <w:tc>
          <w:tcPr>
            <w:tcW w:w="3117" w:type="dxa"/>
          </w:tcPr>
          <w:p w14:paraId="5D5DC3BC" w14:textId="174B69AF" w:rsidR="00547674" w:rsidRPr="00547674" w:rsidRDefault="00503550" w:rsidP="00547674">
            <w:pPr>
              <w:jc w:val="center"/>
            </w:pPr>
            <w:r>
              <w:t>5.842068</w:t>
            </w:r>
          </w:p>
        </w:tc>
        <w:tc>
          <w:tcPr>
            <w:tcW w:w="3117" w:type="dxa"/>
          </w:tcPr>
          <w:p w14:paraId="712AE454" w14:textId="1898895E" w:rsidR="00547674" w:rsidRPr="00547674" w:rsidRDefault="00C86CF3" w:rsidP="00547674">
            <w:pPr>
              <w:jc w:val="center"/>
            </w:pPr>
            <w:r>
              <w:t>5.84628</w:t>
            </w:r>
          </w:p>
        </w:tc>
      </w:tr>
      <w:tr w:rsidR="00547674" w14:paraId="7A2C19D4" w14:textId="77777777" w:rsidTr="00547674">
        <w:tc>
          <w:tcPr>
            <w:tcW w:w="3116" w:type="dxa"/>
          </w:tcPr>
          <w:p w14:paraId="5C43BA02" w14:textId="398F8754" w:rsidR="00547674" w:rsidRPr="00547674" w:rsidRDefault="00547674" w:rsidP="00547674">
            <w:pPr>
              <w:jc w:val="center"/>
            </w:pPr>
            <w:r>
              <w:t>Batch2</w:t>
            </w:r>
          </w:p>
        </w:tc>
        <w:tc>
          <w:tcPr>
            <w:tcW w:w="3117" w:type="dxa"/>
          </w:tcPr>
          <w:p w14:paraId="2D43B87E" w14:textId="0645ADFA" w:rsidR="00547674" w:rsidRPr="009D415D" w:rsidRDefault="009D415D" w:rsidP="009D41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7.963211</w:t>
            </w:r>
          </w:p>
        </w:tc>
        <w:tc>
          <w:tcPr>
            <w:tcW w:w="3117" w:type="dxa"/>
          </w:tcPr>
          <w:p w14:paraId="1A09847B" w14:textId="2DBBF01A" w:rsidR="00547674" w:rsidRPr="00547674" w:rsidRDefault="00C86CF3" w:rsidP="00547674">
            <w:pPr>
              <w:jc w:val="center"/>
            </w:pPr>
            <w:r>
              <w:t>7.96557</w:t>
            </w:r>
          </w:p>
        </w:tc>
      </w:tr>
      <w:tr w:rsidR="00547674" w14:paraId="7FEC8823" w14:textId="77777777" w:rsidTr="00547674">
        <w:tc>
          <w:tcPr>
            <w:tcW w:w="3116" w:type="dxa"/>
          </w:tcPr>
          <w:p w14:paraId="08E7CE3C" w14:textId="585D4BB7" w:rsidR="00547674" w:rsidRPr="00547674" w:rsidRDefault="00547674" w:rsidP="00547674">
            <w:pPr>
              <w:jc w:val="center"/>
            </w:pPr>
            <w:r>
              <w:t>Batch3</w:t>
            </w:r>
          </w:p>
        </w:tc>
        <w:tc>
          <w:tcPr>
            <w:tcW w:w="3117" w:type="dxa"/>
          </w:tcPr>
          <w:p w14:paraId="3FDF7CC8" w14:textId="6DD8CC2E" w:rsidR="00547674" w:rsidRPr="009C5555" w:rsidRDefault="004C5ED3" w:rsidP="009C55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4.071285</w:t>
            </w:r>
          </w:p>
        </w:tc>
        <w:tc>
          <w:tcPr>
            <w:tcW w:w="3117" w:type="dxa"/>
          </w:tcPr>
          <w:p w14:paraId="7BC2EC34" w14:textId="6926A8C8" w:rsidR="00547674" w:rsidRPr="00547674" w:rsidRDefault="00C86CF3" w:rsidP="00547674">
            <w:pPr>
              <w:jc w:val="center"/>
            </w:pPr>
            <w:r>
              <w:t>4.07326</w:t>
            </w:r>
          </w:p>
        </w:tc>
      </w:tr>
      <w:tr w:rsidR="00547674" w14:paraId="3827C28D" w14:textId="77777777" w:rsidTr="00547674">
        <w:tc>
          <w:tcPr>
            <w:tcW w:w="3116" w:type="dxa"/>
          </w:tcPr>
          <w:p w14:paraId="302FB3A8" w14:textId="6133BF69" w:rsidR="00547674" w:rsidRPr="00547674" w:rsidRDefault="00547674" w:rsidP="00547674">
            <w:pPr>
              <w:jc w:val="center"/>
            </w:pPr>
            <w:r>
              <w:t>Batch4</w:t>
            </w:r>
          </w:p>
        </w:tc>
        <w:tc>
          <w:tcPr>
            <w:tcW w:w="3117" w:type="dxa"/>
          </w:tcPr>
          <w:p w14:paraId="310C0122" w14:textId="031535FE" w:rsidR="00547674" w:rsidRPr="00574210" w:rsidRDefault="00B24FCB" w:rsidP="005476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65535</w:t>
            </w:r>
          </w:p>
        </w:tc>
        <w:tc>
          <w:tcPr>
            <w:tcW w:w="3117" w:type="dxa"/>
          </w:tcPr>
          <w:p w14:paraId="34944BAC" w14:textId="417C6293" w:rsidR="00547674" w:rsidRPr="00574210" w:rsidRDefault="00C86CF3" w:rsidP="00547674">
            <w:pPr>
              <w:jc w:val="center"/>
              <w:rPr>
                <w:color w:val="FF0000"/>
              </w:rPr>
            </w:pPr>
            <w:r w:rsidRPr="00574210">
              <w:rPr>
                <w:color w:val="FF0000"/>
              </w:rPr>
              <w:t>1.24750</w:t>
            </w:r>
          </w:p>
        </w:tc>
      </w:tr>
    </w:tbl>
    <w:p w14:paraId="4DF262F5" w14:textId="3E88329F" w:rsidR="005A6B59" w:rsidRDefault="005A6B59" w:rsidP="00503550">
      <w:pPr>
        <w:pStyle w:val="NoSpacing"/>
        <w:rPr>
          <w:sz w:val="28"/>
          <w:szCs w:val="28"/>
          <w:highlight w:val="yellow"/>
          <w:bdr w:val="single" w:sz="4" w:space="0" w:color="auto"/>
        </w:rPr>
      </w:pPr>
    </w:p>
    <w:p w14:paraId="0A0ADC7A" w14:textId="3C733335" w:rsidR="00503550" w:rsidRPr="00D649CE" w:rsidRDefault="00574210" w:rsidP="001275B0">
      <w:pPr>
        <w:pStyle w:val="NoSpacing"/>
        <w:jc w:val="both"/>
        <w:rPr>
          <w:b/>
          <w:bCs/>
          <w:highlight w:val="yellow"/>
          <w:bdr w:val="single" w:sz="4" w:space="0" w:color="auto"/>
        </w:rPr>
      </w:pPr>
      <w:r w:rsidRPr="00D649CE">
        <w:rPr>
          <w:b/>
          <w:bCs/>
        </w:rPr>
        <w:t xml:space="preserve">From the </w:t>
      </w:r>
      <w:r w:rsidR="005A7B3C" w:rsidRPr="00D649CE">
        <w:rPr>
          <w:b/>
          <w:bCs/>
        </w:rPr>
        <w:t xml:space="preserve">result, we can see the FDM method </w:t>
      </w:r>
      <w:r w:rsidR="00792E66" w:rsidRPr="00D649CE">
        <w:rPr>
          <w:b/>
          <w:bCs/>
        </w:rPr>
        <w:t xml:space="preserve">output very accurate price for Batch 1, 2 and 3. However, for batch 4, the FDM method seems </w:t>
      </w:r>
      <w:r w:rsidR="00B24FCB" w:rsidRPr="00D649CE">
        <w:rPr>
          <w:b/>
          <w:bCs/>
        </w:rPr>
        <w:t>encountered some numerical error, which out</w:t>
      </w:r>
      <w:r w:rsidR="001275B0" w:rsidRPr="00D649CE">
        <w:rPr>
          <w:b/>
          <w:bCs/>
        </w:rPr>
        <w:t>put 65536 as the result. Except for this, we can still claim that FDM works very well</w:t>
      </w:r>
      <w:r w:rsidR="00007931" w:rsidRPr="00D649CE">
        <w:rPr>
          <w:b/>
          <w:bCs/>
        </w:rPr>
        <w:t xml:space="preserve"> in predicting the actual result.</w:t>
      </w:r>
    </w:p>
    <w:p w14:paraId="1E9B8B16" w14:textId="77777777" w:rsidR="005A6B59" w:rsidRDefault="005A6B59" w:rsidP="00E454D8">
      <w:pPr>
        <w:pStyle w:val="NoSpacing"/>
        <w:jc w:val="center"/>
        <w:rPr>
          <w:sz w:val="28"/>
          <w:szCs w:val="28"/>
          <w:highlight w:val="yellow"/>
          <w:bdr w:val="single" w:sz="4" w:space="0" w:color="auto"/>
        </w:rPr>
      </w:pPr>
    </w:p>
    <w:p w14:paraId="5CFD9A87" w14:textId="66CB4178" w:rsidR="00E454D8" w:rsidRPr="00391749" w:rsidRDefault="00E454D8" w:rsidP="00E454D8">
      <w:pPr>
        <w:pStyle w:val="NoSpacing"/>
        <w:jc w:val="center"/>
        <w:rPr>
          <w:sz w:val="28"/>
          <w:szCs w:val="28"/>
          <w:bdr w:val="single" w:sz="4" w:space="0" w:color="auto"/>
        </w:rPr>
      </w:pPr>
      <w:r w:rsidRPr="00A336B6">
        <w:rPr>
          <w:sz w:val="28"/>
          <w:szCs w:val="28"/>
          <w:highlight w:val="yellow"/>
          <w:bdr w:val="single" w:sz="4" w:space="0" w:color="auto"/>
        </w:rPr>
        <w:t xml:space="preserve">b) </w:t>
      </w:r>
      <w:r w:rsidR="0048336E" w:rsidRPr="00A336B6">
        <w:rPr>
          <w:sz w:val="28"/>
          <w:szCs w:val="28"/>
          <w:highlight w:val="yellow"/>
          <w:bdr w:val="single" w:sz="4" w:space="0" w:color="auto"/>
        </w:rPr>
        <w:t>Analysis of FDM Method</w:t>
      </w:r>
    </w:p>
    <w:p w14:paraId="36B80BFA" w14:textId="074B13DA" w:rsidR="007E50E1" w:rsidRDefault="00134B53"/>
    <w:tbl>
      <w:tblPr>
        <w:tblStyle w:val="TableGrid"/>
        <w:tblpPr w:leftFromText="180" w:rightFromText="180" w:vertAnchor="text" w:horzAnchor="margin" w:tblpY="385"/>
        <w:tblW w:w="0" w:type="auto"/>
        <w:tblLook w:val="04A0" w:firstRow="1" w:lastRow="0" w:firstColumn="1" w:lastColumn="0" w:noHBand="0" w:noVBand="1"/>
      </w:tblPr>
      <w:tblGrid>
        <w:gridCol w:w="2268"/>
        <w:gridCol w:w="2398"/>
        <w:gridCol w:w="2415"/>
        <w:gridCol w:w="2269"/>
      </w:tblGrid>
      <w:tr w:rsidR="008C678E" w14:paraId="4EE612DB" w14:textId="77777777" w:rsidTr="008C678E">
        <w:tc>
          <w:tcPr>
            <w:tcW w:w="2268" w:type="dxa"/>
            <w:vMerge w:val="restart"/>
          </w:tcPr>
          <w:p w14:paraId="031C9F2F" w14:textId="77777777" w:rsidR="008C678E" w:rsidRDefault="008C678E" w:rsidP="008C678E">
            <w:pPr>
              <w:jc w:val="center"/>
            </w:pPr>
            <w:r>
              <w:t>Batch 1</w:t>
            </w:r>
          </w:p>
        </w:tc>
        <w:tc>
          <w:tcPr>
            <w:tcW w:w="2398" w:type="dxa"/>
          </w:tcPr>
          <w:p w14:paraId="7C136F90" w14:textId="77777777" w:rsidR="008C678E" w:rsidRDefault="008C678E" w:rsidP="008C678E">
            <w:pPr>
              <w:jc w:val="center"/>
            </w:pPr>
            <w:r>
              <w:t>N</w:t>
            </w:r>
          </w:p>
        </w:tc>
        <w:tc>
          <w:tcPr>
            <w:tcW w:w="2415" w:type="dxa"/>
          </w:tcPr>
          <w:p w14:paraId="10ABEEF0" w14:textId="77777777" w:rsidR="008C678E" w:rsidRDefault="008C678E" w:rsidP="008C678E">
            <w:pPr>
              <w:jc w:val="center"/>
            </w:pPr>
            <w:r>
              <w:t>Value</w:t>
            </w:r>
          </w:p>
        </w:tc>
        <w:tc>
          <w:tcPr>
            <w:tcW w:w="2269" w:type="dxa"/>
          </w:tcPr>
          <w:p w14:paraId="2EFA2EE7" w14:textId="77777777" w:rsidR="008C678E" w:rsidRDefault="008C678E" w:rsidP="008C678E">
            <w:pPr>
              <w:jc w:val="center"/>
            </w:pPr>
            <w:r>
              <w:t>Real Value</w:t>
            </w:r>
          </w:p>
        </w:tc>
      </w:tr>
      <w:tr w:rsidR="008C678E" w14:paraId="230FD571" w14:textId="77777777" w:rsidTr="008C678E">
        <w:tc>
          <w:tcPr>
            <w:tcW w:w="2268" w:type="dxa"/>
            <w:vMerge/>
          </w:tcPr>
          <w:p w14:paraId="6B6E4B93" w14:textId="77777777" w:rsidR="008C678E" w:rsidRDefault="008C678E" w:rsidP="008C678E">
            <w:pPr>
              <w:jc w:val="center"/>
            </w:pPr>
          </w:p>
        </w:tc>
        <w:tc>
          <w:tcPr>
            <w:tcW w:w="2398" w:type="dxa"/>
          </w:tcPr>
          <w:p w14:paraId="01563573" w14:textId="77777777" w:rsidR="008C678E" w:rsidRDefault="008C678E" w:rsidP="008C678E">
            <w:pPr>
              <w:jc w:val="center"/>
            </w:pPr>
            <w:r>
              <w:t>9999</w:t>
            </w:r>
          </w:p>
        </w:tc>
        <w:tc>
          <w:tcPr>
            <w:tcW w:w="2415" w:type="dxa"/>
          </w:tcPr>
          <w:p w14:paraId="634D37BE" w14:textId="77777777" w:rsidR="008C678E" w:rsidRDefault="008C678E" w:rsidP="008C678E">
            <w:pPr>
              <w:jc w:val="center"/>
            </w:pPr>
            <w:r>
              <w:t>5.842068</w:t>
            </w:r>
          </w:p>
        </w:tc>
        <w:tc>
          <w:tcPr>
            <w:tcW w:w="2269" w:type="dxa"/>
          </w:tcPr>
          <w:p w14:paraId="2460725B" w14:textId="77777777" w:rsidR="008C678E" w:rsidRDefault="008C678E" w:rsidP="008C678E">
            <w:pPr>
              <w:jc w:val="center"/>
            </w:pPr>
            <w:r>
              <w:t>5.84628</w:t>
            </w:r>
          </w:p>
        </w:tc>
      </w:tr>
      <w:tr w:rsidR="008C678E" w14:paraId="71E6C91C" w14:textId="77777777" w:rsidTr="008C678E">
        <w:tc>
          <w:tcPr>
            <w:tcW w:w="2268" w:type="dxa"/>
            <w:vMerge/>
          </w:tcPr>
          <w:p w14:paraId="317C155C" w14:textId="77777777" w:rsidR="008C678E" w:rsidRDefault="008C678E" w:rsidP="008C678E">
            <w:pPr>
              <w:jc w:val="center"/>
            </w:pPr>
          </w:p>
        </w:tc>
        <w:tc>
          <w:tcPr>
            <w:tcW w:w="2398" w:type="dxa"/>
          </w:tcPr>
          <w:p w14:paraId="004C44F1" w14:textId="77777777" w:rsidR="008C678E" w:rsidRDefault="008C678E" w:rsidP="008C678E">
            <w:pPr>
              <w:jc w:val="center"/>
            </w:pPr>
            <w:r>
              <w:t>4999</w:t>
            </w:r>
          </w:p>
        </w:tc>
        <w:tc>
          <w:tcPr>
            <w:tcW w:w="2415" w:type="dxa"/>
          </w:tcPr>
          <w:p w14:paraId="08FD6EDA" w14:textId="77777777" w:rsidR="008C678E" w:rsidRDefault="008C678E" w:rsidP="008C678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5.842093</w:t>
            </w:r>
          </w:p>
        </w:tc>
        <w:tc>
          <w:tcPr>
            <w:tcW w:w="2269" w:type="dxa"/>
          </w:tcPr>
          <w:p w14:paraId="7D92557E" w14:textId="77777777" w:rsidR="008C678E" w:rsidRDefault="008C678E" w:rsidP="008C678E">
            <w:pPr>
              <w:jc w:val="center"/>
            </w:pPr>
            <w:r>
              <w:t>5.84628</w:t>
            </w:r>
          </w:p>
        </w:tc>
      </w:tr>
      <w:tr w:rsidR="008C678E" w14:paraId="363F8B39" w14:textId="77777777" w:rsidTr="008C678E">
        <w:tc>
          <w:tcPr>
            <w:tcW w:w="2268" w:type="dxa"/>
            <w:vMerge/>
          </w:tcPr>
          <w:p w14:paraId="3DBE1BF3" w14:textId="77777777" w:rsidR="008C678E" w:rsidRDefault="008C678E" w:rsidP="008C678E">
            <w:pPr>
              <w:jc w:val="center"/>
            </w:pPr>
          </w:p>
        </w:tc>
        <w:tc>
          <w:tcPr>
            <w:tcW w:w="2398" w:type="dxa"/>
          </w:tcPr>
          <w:p w14:paraId="41431EF5" w14:textId="77777777" w:rsidR="008C678E" w:rsidRDefault="008C678E" w:rsidP="008C678E">
            <w:pPr>
              <w:jc w:val="center"/>
            </w:pPr>
            <w:r>
              <w:t>1999</w:t>
            </w:r>
          </w:p>
        </w:tc>
        <w:tc>
          <w:tcPr>
            <w:tcW w:w="2415" w:type="dxa"/>
          </w:tcPr>
          <w:p w14:paraId="47076323" w14:textId="77777777" w:rsidR="008C678E" w:rsidRPr="00F843E5" w:rsidRDefault="008C678E" w:rsidP="008C6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5.842167</w:t>
            </w:r>
          </w:p>
        </w:tc>
        <w:tc>
          <w:tcPr>
            <w:tcW w:w="2269" w:type="dxa"/>
          </w:tcPr>
          <w:p w14:paraId="01731028" w14:textId="77777777" w:rsidR="008C678E" w:rsidRDefault="008C678E" w:rsidP="008C678E">
            <w:pPr>
              <w:jc w:val="center"/>
            </w:pPr>
            <w:r>
              <w:t>5.84628</w:t>
            </w:r>
          </w:p>
        </w:tc>
      </w:tr>
      <w:tr w:rsidR="008C678E" w14:paraId="5ABADD5F" w14:textId="77777777" w:rsidTr="008C678E">
        <w:tc>
          <w:tcPr>
            <w:tcW w:w="2268" w:type="dxa"/>
            <w:vMerge/>
          </w:tcPr>
          <w:p w14:paraId="3ECCE87E" w14:textId="77777777" w:rsidR="008C678E" w:rsidRDefault="008C678E" w:rsidP="008C678E">
            <w:pPr>
              <w:jc w:val="center"/>
            </w:pPr>
            <w:bookmarkStart w:id="0" w:name="_GoBack" w:colFirst="2" w:colLast="3"/>
          </w:p>
        </w:tc>
        <w:tc>
          <w:tcPr>
            <w:tcW w:w="2398" w:type="dxa"/>
          </w:tcPr>
          <w:p w14:paraId="56000675" w14:textId="77777777" w:rsidR="008C678E" w:rsidRDefault="008C678E" w:rsidP="008C678E">
            <w:pPr>
              <w:jc w:val="center"/>
            </w:pPr>
            <w:r>
              <w:t>1499</w:t>
            </w:r>
          </w:p>
        </w:tc>
        <w:tc>
          <w:tcPr>
            <w:tcW w:w="2415" w:type="dxa"/>
          </w:tcPr>
          <w:p w14:paraId="5A04AACB" w14:textId="77777777" w:rsidR="008C678E" w:rsidRPr="00134B53" w:rsidRDefault="008C678E" w:rsidP="008C678E">
            <w:pPr>
              <w:jc w:val="center"/>
              <w:rPr>
                <w:rFonts w:ascii="Calibri" w:hAnsi="Calibri" w:cs="Calibri"/>
                <w:color w:val="FF0000"/>
              </w:rPr>
            </w:pPr>
            <w:r w:rsidRPr="00134B53">
              <w:rPr>
                <w:rFonts w:ascii="Calibri" w:hAnsi="Calibri" w:cs="Calibri"/>
                <w:color w:val="FF0000"/>
              </w:rPr>
              <w:t>-8.9E+17</w:t>
            </w:r>
          </w:p>
        </w:tc>
        <w:tc>
          <w:tcPr>
            <w:tcW w:w="2269" w:type="dxa"/>
          </w:tcPr>
          <w:p w14:paraId="001903FE" w14:textId="77777777" w:rsidR="008C678E" w:rsidRPr="00134B53" w:rsidRDefault="008C678E" w:rsidP="008C678E">
            <w:pPr>
              <w:jc w:val="center"/>
              <w:rPr>
                <w:color w:val="FF0000"/>
              </w:rPr>
            </w:pPr>
            <w:r w:rsidRPr="00134B53">
              <w:rPr>
                <w:color w:val="FF0000"/>
              </w:rPr>
              <w:t>5.84628</w:t>
            </w:r>
          </w:p>
        </w:tc>
      </w:tr>
      <w:tr w:rsidR="008C678E" w14:paraId="41B9A362" w14:textId="77777777" w:rsidTr="008C678E">
        <w:tc>
          <w:tcPr>
            <w:tcW w:w="2268" w:type="dxa"/>
            <w:vMerge/>
          </w:tcPr>
          <w:p w14:paraId="4DCB64E5" w14:textId="77777777" w:rsidR="008C678E" w:rsidRDefault="008C678E" w:rsidP="008C678E">
            <w:pPr>
              <w:jc w:val="center"/>
            </w:pPr>
          </w:p>
        </w:tc>
        <w:tc>
          <w:tcPr>
            <w:tcW w:w="2398" w:type="dxa"/>
          </w:tcPr>
          <w:p w14:paraId="0EEA9570" w14:textId="77777777" w:rsidR="008C678E" w:rsidRDefault="008C678E" w:rsidP="008C678E">
            <w:pPr>
              <w:jc w:val="center"/>
            </w:pPr>
            <w:r>
              <w:t>999</w:t>
            </w:r>
          </w:p>
        </w:tc>
        <w:tc>
          <w:tcPr>
            <w:tcW w:w="2415" w:type="dxa"/>
          </w:tcPr>
          <w:p w14:paraId="5873A0E9" w14:textId="77777777" w:rsidR="008C678E" w:rsidRPr="00134B53" w:rsidRDefault="008C678E" w:rsidP="008C678E">
            <w:pPr>
              <w:jc w:val="center"/>
              <w:rPr>
                <w:rFonts w:ascii="Calibri" w:hAnsi="Calibri" w:cs="Calibri"/>
                <w:color w:val="FF0000"/>
              </w:rPr>
            </w:pPr>
            <w:r w:rsidRPr="00134B53">
              <w:rPr>
                <w:rFonts w:ascii="Calibri" w:hAnsi="Calibri" w:cs="Calibri"/>
                <w:color w:val="FF0000"/>
              </w:rPr>
              <w:t>-4E+45</w:t>
            </w:r>
          </w:p>
        </w:tc>
        <w:tc>
          <w:tcPr>
            <w:tcW w:w="2269" w:type="dxa"/>
          </w:tcPr>
          <w:p w14:paraId="66F0DF76" w14:textId="77777777" w:rsidR="008C678E" w:rsidRPr="00134B53" w:rsidRDefault="008C678E" w:rsidP="008C678E">
            <w:pPr>
              <w:jc w:val="center"/>
              <w:rPr>
                <w:color w:val="FF0000"/>
              </w:rPr>
            </w:pPr>
            <w:r w:rsidRPr="00134B53">
              <w:rPr>
                <w:color w:val="FF0000"/>
              </w:rPr>
              <w:t>5.84628</w:t>
            </w:r>
          </w:p>
        </w:tc>
      </w:tr>
      <w:tr w:rsidR="008C678E" w14:paraId="40FBCE02" w14:textId="77777777" w:rsidTr="008C678E">
        <w:tc>
          <w:tcPr>
            <w:tcW w:w="2268" w:type="dxa"/>
            <w:vMerge/>
          </w:tcPr>
          <w:p w14:paraId="09BDC790" w14:textId="77777777" w:rsidR="008C678E" w:rsidRDefault="008C678E" w:rsidP="008C678E">
            <w:pPr>
              <w:jc w:val="center"/>
            </w:pPr>
          </w:p>
        </w:tc>
        <w:tc>
          <w:tcPr>
            <w:tcW w:w="2398" w:type="dxa"/>
          </w:tcPr>
          <w:p w14:paraId="509D9470" w14:textId="77777777" w:rsidR="008C678E" w:rsidRDefault="008C678E" w:rsidP="008C678E">
            <w:pPr>
              <w:jc w:val="center"/>
            </w:pPr>
            <w:r>
              <w:t>899</w:t>
            </w:r>
          </w:p>
        </w:tc>
        <w:tc>
          <w:tcPr>
            <w:tcW w:w="2415" w:type="dxa"/>
          </w:tcPr>
          <w:p w14:paraId="48545E36" w14:textId="77777777" w:rsidR="008C678E" w:rsidRPr="00134B53" w:rsidRDefault="008C678E" w:rsidP="008C678E">
            <w:pPr>
              <w:jc w:val="center"/>
              <w:rPr>
                <w:rFonts w:ascii="Calibri" w:hAnsi="Calibri" w:cs="Calibri"/>
                <w:color w:val="FF0000"/>
              </w:rPr>
            </w:pPr>
            <w:r w:rsidRPr="00134B53">
              <w:rPr>
                <w:rFonts w:ascii="Calibri" w:hAnsi="Calibri" w:cs="Calibri"/>
                <w:color w:val="FF0000"/>
              </w:rPr>
              <w:t>-1.6E+35</w:t>
            </w:r>
          </w:p>
        </w:tc>
        <w:tc>
          <w:tcPr>
            <w:tcW w:w="2269" w:type="dxa"/>
          </w:tcPr>
          <w:p w14:paraId="67AF0911" w14:textId="77777777" w:rsidR="008C678E" w:rsidRPr="00134B53" w:rsidRDefault="008C678E" w:rsidP="008C678E">
            <w:pPr>
              <w:jc w:val="center"/>
              <w:rPr>
                <w:color w:val="FF0000"/>
              </w:rPr>
            </w:pPr>
            <w:r w:rsidRPr="00134B53">
              <w:rPr>
                <w:color w:val="FF0000"/>
              </w:rPr>
              <w:t>5.84628</w:t>
            </w:r>
          </w:p>
        </w:tc>
      </w:tr>
    </w:tbl>
    <w:bookmarkEnd w:id="0"/>
    <w:p w14:paraId="664547C4" w14:textId="05553B02" w:rsidR="00A336B6" w:rsidRDefault="0045242E" w:rsidP="008C678E">
      <w:r>
        <w:t xml:space="preserve">In this exercise, I change N to multiple </w:t>
      </w:r>
      <w:r w:rsidR="00503550">
        <w:t>value and check the value given by FDM in batch 1.</w:t>
      </w:r>
    </w:p>
    <w:p w14:paraId="7D8EEDA8" w14:textId="77777777" w:rsidR="008C678E" w:rsidRDefault="008C678E" w:rsidP="00503550"/>
    <w:p w14:paraId="695BA6E2" w14:textId="2B3724E3" w:rsidR="00503550" w:rsidRPr="008C678E" w:rsidRDefault="00503550" w:rsidP="00503550">
      <w:pPr>
        <w:rPr>
          <w:b/>
          <w:bCs/>
        </w:rPr>
      </w:pPr>
      <w:r w:rsidRPr="008C678E">
        <w:rPr>
          <w:b/>
          <w:bCs/>
        </w:rPr>
        <w:t xml:space="preserve">Conclusion: </w:t>
      </w:r>
      <w:r w:rsidR="009B130F" w:rsidRPr="008C678E">
        <w:rPr>
          <w:b/>
          <w:bCs/>
        </w:rPr>
        <w:t>We find the output of FDM is very stable and accurate when N</w:t>
      </w:r>
      <w:r w:rsidR="005E40FB" w:rsidRPr="008C678E">
        <w:rPr>
          <w:b/>
          <w:bCs/>
        </w:rPr>
        <w:t xml:space="preserve"> &gt;= 1999. </w:t>
      </w:r>
      <w:r w:rsidR="00055AC7" w:rsidRPr="008C678E">
        <w:rPr>
          <w:b/>
          <w:bCs/>
        </w:rPr>
        <w:t>When N &lt;1999, the result</w:t>
      </w:r>
      <w:r w:rsidR="008C678E" w:rsidRPr="008C678E">
        <w:rPr>
          <w:b/>
          <w:bCs/>
        </w:rPr>
        <w:t>s</w:t>
      </w:r>
      <w:r w:rsidR="00055AC7" w:rsidRPr="008C678E">
        <w:rPr>
          <w:b/>
          <w:bCs/>
        </w:rPr>
        <w:t xml:space="preserve"> output by the FDM become very unreasonable</w:t>
      </w:r>
      <w:r w:rsidR="00361D42" w:rsidRPr="008C678E">
        <w:rPr>
          <w:b/>
          <w:bCs/>
        </w:rPr>
        <w:t>.</w:t>
      </w:r>
    </w:p>
    <w:sectPr w:rsidR="00503550" w:rsidRPr="008C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D8"/>
    <w:rsid w:val="00007931"/>
    <w:rsid w:val="00055AC7"/>
    <w:rsid w:val="001265F2"/>
    <w:rsid w:val="001275B0"/>
    <w:rsid w:val="00134B53"/>
    <w:rsid w:val="0025142A"/>
    <w:rsid w:val="002F0D90"/>
    <w:rsid w:val="00361D42"/>
    <w:rsid w:val="003E0FA9"/>
    <w:rsid w:val="004219EF"/>
    <w:rsid w:val="0045242E"/>
    <w:rsid w:val="0048336E"/>
    <w:rsid w:val="004C5ED3"/>
    <w:rsid w:val="00503550"/>
    <w:rsid w:val="00504D9D"/>
    <w:rsid w:val="00547674"/>
    <w:rsid w:val="00574210"/>
    <w:rsid w:val="005A6B59"/>
    <w:rsid w:val="005A7B3C"/>
    <w:rsid w:val="005E40FB"/>
    <w:rsid w:val="00792E66"/>
    <w:rsid w:val="008368B3"/>
    <w:rsid w:val="00862A6A"/>
    <w:rsid w:val="008C678E"/>
    <w:rsid w:val="008C794D"/>
    <w:rsid w:val="009B130F"/>
    <w:rsid w:val="009C5555"/>
    <w:rsid w:val="009D415D"/>
    <w:rsid w:val="00A336B6"/>
    <w:rsid w:val="00B24FCB"/>
    <w:rsid w:val="00C86CF3"/>
    <w:rsid w:val="00CC22D8"/>
    <w:rsid w:val="00CE4118"/>
    <w:rsid w:val="00D2761F"/>
    <w:rsid w:val="00D3079A"/>
    <w:rsid w:val="00D649CE"/>
    <w:rsid w:val="00DA5A32"/>
    <w:rsid w:val="00DD493B"/>
    <w:rsid w:val="00E454D8"/>
    <w:rsid w:val="00ED0F3E"/>
    <w:rsid w:val="00EE6E9E"/>
    <w:rsid w:val="00EF3AF4"/>
    <w:rsid w:val="00F8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049C"/>
  <w15:chartTrackingRefBased/>
  <w15:docId w15:val="{A905055C-76AC-4795-9FEE-D6D4DEBC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5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4D8"/>
    <w:pPr>
      <w:spacing w:after="0" w:line="240" w:lineRule="auto"/>
    </w:pPr>
  </w:style>
  <w:style w:type="table" w:styleId="TableGrid">
    <w:name w:val="Table Grid"/>
    <w:basedOn w:val="TableNormal"/>
    <w:uiPriority w:val="39"/>
    <w:rsid w:val="00A3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Jiayuan</dc:creator>
  <cp:keywords/>
  <dc:description/>
  <cp:lastModifiedBy>Li Jiayuan</cp:lastModifiedBy>
  <cp:revision>41</cp:revision>
  <dcterms:created xsi:type="dcterms:W3CDTF">2020-03-09T04:52:00Z</dcterms:created>
  <dcterms:modified xsi:type="dcterms:W3CDTF">2020-03-09T05:22:00Z</dcterms:modified>
</cp:coreProperties>
</file>