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华友钴业（603799）周频因子诊断报告 · 简要版</w:t>
      </w:r>
    </w:p>
    <w:p>
      <w:r>
        <w:rPr>
          <w:rFonts w:ascii="微软雅黑" w:hAnsi="微软雅黑"/>
          <w:color w:val="8A6D00"/>
          <w:sz w:val="18"/>
          <w:eastAsia w:val="微软雅黑"/>
        </w:rPr>
        <w:t>SPIKE-2 演示样张（非正式报告）：20 只演示子池；H 为简化口径；验证渲染管线（E-4/E-11）。</w:t>
      </w:r>
    </w:p>
    <w:p>
      <w:pPr>
        <w:pStyle w:val="Heading2"/>
      </w:pPr>
      <w:r>
        <w:t>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eastAsia w:val="微软雅黑"/>
              </w:rPr>
              <w:t>代码</w:t>
            </w:r>
          </w:p>
        </w:tc>
        <w:tc>
          <w:tcPr>
            <w:tcW w:type="dxa" w:w="4320"/>
          </w:tcPr>
          <w:p>
            <w:r>
              <w:t>603799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eastAsia w:val="微软雅黑"/>
              </w:rPr>
              <w:t>名称</w:t>
            </w:r>
          </w:p>
        </w:tc>
        <w:tc>
          <w:tcPr>
            <w:tcW w:type="dxa" w:w="4320"/>
          </w:tcPr>
          <w:p>
            <w:r>
              <w:t>华友钴业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eastAsia w:val="微软雅黑"/>
              </w:rPr>
              <w:t>观察日</w:t>
            </w:r>
          </w:p>
        </w:tc>
        <w:tc>
          <w:tcPr>
            <w:tcW w:type="dxa" w:w="4320"/>
          </w:tcPr>
          <w:p>
            <w:r>
              <w:t>2026-10-16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eastAsia w:val="微软雅黑"/>
              </w:rPr>
              <w:t>同池</w:t>
            </w:r>
          </w:p>
        </w:tc>
        <w:tc>
          <w:tcPr>
            <w:tcW w:type="dxa" w:w="4320"/>
          </w:tcPr>
          <w:p>
            <w:r>
              <w:t>演示子池（沪深300样本 20 只；正式版为四池归属）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eastAsia w:val="微软雅黑"/>
              </w:rPr>
              <w:t>出分日</w:t>
            </w:r>
          </w:p>
        </w:tc>
        <w:tc>
          <w:tcPr>
            <w:tcW w:type="dxa" w:w="4320"/>
          </w:tcPr>
          <w:p>
            <w:r>
              <w:t>2026-10-16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eastAsia w:val="微软雅黑"/>
              </w:rPr>
              <w:t>建议复核日</w:t>
            </w:r>
          </w:p>
        </w:tc>
        <w:tc>
          <w:tcPr>
            <w:tcW w:type="dxa" w:w="4320"/>
          </w:tcPr>
          <w:p>
            <w:r>
              <w:t>2026-10-23</w:t>
            </w:r>
          </w:p>
        </w:tc>
      </w:tr>
    </w:tbl>
    <w:p>
      <w:pPr>
        <w:pStyle w:val="Heading2"/>
      </w:pPr>
      <w:r>
        <w:t>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eastAsia w:val="微软雅黑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eastAsia w:val="微软雅黑"/>
              </w:rPr>
              <w:t>分数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eastAsia w:val="微软雅黑"/>
              </w:rPr>
              <w:t>分档</w:t>
            </w:r>
          </w:p>
        </w:tc>
      </w:tr>
      <w:tr>
        <w:tc>
          <w:tcPr>
            <w:tcW w:type="dxa" w:w="2880"/>
          </w:tcPr>
          <w:p>
            <w:r>
              <w:t>综合分 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color w:val="1E7B3C"/>
                <w:eastAsia w:val="微软雅黑"/>
              </w:rPr>
              <w:t>10</w:t>
            </w:r>
          </w:p>
        </w:tc>
        <w:tc>
          <w:tcPr>
            <w:tcW w:type="dxa" w:w="2880"/>
          </w:tcPr>
          <w:p>
            <w:r>
              <w:t>偏不利</w:t>
            </w:r>
          </w:p>
        </w:tc>
      </w:tr>
      <w:tr>
        <w:tc>
          <w:tcPr>
            <w:tcW w:type="dxa" w:w="2880"/>
          </w:tcPr>
          <w:p>
            <w:r>
              <w:t>历史位置 H（52 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color w:val="1E7B3C"/>
                <w:eastAsia w:val="微软雅黑"/>
              </w:rPr>
              <w:t>20</w:t>
            </w:r>
          </w:p>
        </w:tc>
        <w:tc>
          <w:tcPr>
            <w:tcW w:type="dxa" w:w="2880"/>
          </w:tcPr>
          <w:p>
            <w:r>
              <w:t>偏不利</w:t>
            </w:r>
          </w:p>
        </w:tc>
      </w:tr>
    </w:tbl>
    <w:p>
      <w:pPr>
        <w:pStyle w:val="Heading2"/>
      </w:pPr>
      <w:r>
        <w:t>第一层 · 一句话结论</w:t>
      </w:r>
    </w:p>
    <w:p>
      <w:r>
        <w:rPr>
          <w:rFonts w:ascii="微软雅黑" w:hAnsi="微软雅黑"/>
          <w:eastAsia w:val="微软雅黑"/>
        </w:rPr>
        <w:t>在演示同池（沪深300样本 20 只）中，华友钴业当前综合分 S=10（偏不利区间），近 52 周自身历史位置 H=20（偏不利）。主要贡献来自市值·规模位置（95 分）与筹码交换强度（100 分）；主要拖累来自长周期趋势位置（5 分）与中期波动水平（0 分）。</w:t>
      </w:r>
    </w:p>
    <w:p>
      <w:pPr>
        <w:pStyle w:val="Heading2"/>
      </w:pPr>
      <w:r>
        <w:t>四个观察侧面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eastAsia w:val="微软雅黑"/>
              </w:rPr>
              <w:t>侧面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eastAsia w:val="微软雅黑"/>
              </w:rPr>
              <w:t>观察项数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eastAsia w:val="微软雅黑"/>
              </w:rPr>
              <w:t>侧面均分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eastAsia w:val="微软雅黑"/>
              </w:rPr>
              <w:t>分档</w:t>
            </w:r>
          </w:p>
        </w:tc>
      </w:tr>
      <w:tr>
        <w:tc>
          <w:tcPr>
            <w:tcW w:type="dxa" w:w="2160"/>
          </w:tcPr>
          <w:p>
            <w:r>
              <w:t>估值特征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color w:val="C00000"/>
                <w:eastAsia w:val="微软雅黑"/>
              </w:rPr>
              <w:t>75</w:t>
            </w:r>
          </w:p>
        </w:tc>
        <w:tc>
          <w:tcPr>
            <w:tcW w:type="dxa" w:w="2160"/>
          </w:tcPr>
          <w:p>
            <w:r>
              <w:t>偏有利</w:t>
            </w:r>
          </w:p>
        </w:tc>
      </w:tr>
      <w:tr>
        <w:tc>
          <w:tcPr>
            <w:tcW w:type="dxa" w:w="2160"/>
          </w:tcPr>
          <w:p>
            <w:r>
              <w:t>价格行为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color w:val="1E7B3C"/>
                <w:eastAsia w:val="微软雅黑"/>
              </w:rPr>
              <w:t>21</w:t>
            </w:r>
          </w:p>
        </w:tc>
        <w:tc>
          <w:tcPr>
            <w:tcW w:type="dxa" w:w="2160"/>
          </w:tcPr>
          <w:p>
            <w:r>
              <w:t>偏不利</w:t>
            </w:r>
          </w:p>
        </w:tc>
      </w:tr>
      <w:tr>
        <w:tc>
          <w:tcPr>
            <w:tcW w:type="dxa" w:w="2160"/>
          </w:tcPr>
          <w:p>
            <w:r>
              <w:t>交易行为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color w:val="555555"/>
                <w:eastAsia w:val="微软雅黑"/>
              </w:rPr>
              <w:t>51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</w:tr>
      <w:tr>
        <w:tc>
          <w:tcPr>
            <w:tcW w:type="dxa" w:w="2160"/>
          </w:tcPr>
          <w:p>
            <w:r>
              <w:t>风险特征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color w:val="1E7B3C"/>
                <w:eastAsia w:val="微软雅黑"/>
              </w:rPr>
              <w:t>8</w:t>
            </w:r>
          </w:p>
        </w:tc>
        <w:tc>
          <w:tcPr>
            <w:tcW w:type="dxa" w:w="2160"/>
          </w:tcPr>
          <w:p>
            <w:r>
              <w:t>偏不利</w:t>
            </w:r>
          </w:p>
        </w:tc>
      </w:tr>
    </w:tbl>
    <w:p>
      <w:pPr>
        <w:pStyle w:val="Heading2"/>
      </w:pPr>
      <w:r>
        <w:t>股性曲线与历史位置</w:t>
      </w:r>
    </w:p>
    <w:p>
      <w:r>
        <w:drawing>
          <wp:inline xmlns:a="http://schemas.openxmlformats.org/drawingml/2006/main" xmlns:pic="http://schemas.openxmlformats.org/drawingml/2006/picture">
            <wp:extent cx="5940000" cy="2348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003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0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1864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 项观察信号分布</w:t>
      </w:r>
    </w:p>
    <w:p>
      <w:r>
        <w:drawing>
          <wp:inline xmlns:a="http://schemas.openxmlformats.org/drawingml/2006/main" xmlns:pic="http://schemas.openxmlformats.org/drawingml/2006/picture">
            <wp:extent cx="5940000" cy="35916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ac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9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怎么读这个分数</w:t>
      </w:r>
    </w:p>
    <w:p>
      <w:r>
        <w:t>分数为同池相对强弱的百分位打分（0–100），仅代表当前因子状态的相对位置，不代表概率、可能性或收益预期。高于 60 读取为偏有利信号，低于 40 读取为偏不利信号，40–60 为中性区。</w:t>
      </w:r>
    </w:p>
    <w:p>
      <w:pPr>
        <w:pStyle w:val="Heading2"/>
      </w:pPr>
      <w:r>
        <w:t>第二层 · 白话解释</w:t>
      </w:r>
    </w:p>
    <w:p>
      <w:r>
        <w:rPr>
          <w:rFonts w:ascii="微软雅黑" w:hAnsi="微软雅黑"/>
          <w:b/>
          <w:eastAsia w:val="微软雅黑"/>
        </w:rPr>
        <w:t>① 用的数据：</w:t>
      </w:r>
      <w:r>
        <w:rPr>
          <w:rFonts w:ascii="微软雅黑" w:hAnsi="微软雅黑"/>
          <w:eastAsia w:val="微软雅黑"/>
        </w:rPr>
        <w:t>仅使用公开的日线级行情（开高低收、成交量额、振幅、换手率）与日线估值（市盈率、市净率、总市值），不使用分钟线与逐笔成交（口径见 BR-006/NG-006）。</w:t>
      </w:r>
    </w:p>
    <w:p>
      <w:r>
        <w:rPr>
          <w:rFonts w:ascii="微软雅黑" w:hAnsi="微软雅黑"/>
          <w:b/>
          <w:eastAsia w:val="微软雅黑"/>
        </w:rPr>
        <w:t>② 用的分析工具：</w:t>
      </w:r>
      <w:r>
        <w:rPr>
          <w:rFonts w:ascii="微软雅黑" w:hAnsi="微软雅黑"/>
          <w:eastAsia w:val="微软雅黑"/>
        </w:rPr>
        <w:t>18 项观察信号（估值特征 3 / 价格行为 7 / 交易行为 4 / 风险特征 4），每项在演示同池内取平均并列名次百分位（0–100）。</w:t>
      </w:r>
    </w:p>
    <w:p>
      <w:r>
        <w:rPr>
          <w:rFonts w:ascii="微软雅黑" w:hAnsi="微软雅黑"/>
          <w:b/>
          <w:eastAsia w:val="微软雅黑"/>
        </w:rPr>
        <w:t>③ 合成一个数：</w:t>
      </w:r>
      <w:r>
        <w:rPr>
          <w:rFonts w:ascii="微软雅黑" w:hAnsi="微软雅黑"/>
          <w:eastAsia w:val="微软雅黑"/>
        </w:rPr>
        <w:t>综合分 S = 18 项信号等权平均后，放回同池重新排名的百分位；H = 当前状态在此前 52 个完成周中的相对位置（本样张为简化演示口径）。</w:t>
      </w:r>
    </w:p>
    <w:p>
      <w:r>
        <w:rPr>
          <w:rFonts w:ascii="微软雅黑" w:hAnsi="微软雅黑"/>
          <w:b/>
          <w:eastAsia w:val="微软雅黑"/>
        </w:rPr>
        <w:t>④ 是什么意思/不是什么意思：</w:t>
      </w:r>
      <w:r>
        <w:rPr>
          <w:rFonts w:ascii="微软雅黑" w:hAnsi="微软雅黑"/>
          <w:eastAsia w:val="微软雅黑"/>
        </w:rPr>
        <w:t>S 只描述该股当前因子状态在同池中的相对强弱，高于 60 偏有利、低于 40 偏不利、40–60 中性；它不代表上涨概率、收益预期，也不构成任何操作指令。</w:t>
      </w:r>
    </w:p>
    <w:p>
      <w:r>
        <w:rPr>
          <w:rFonts w:ascii="微软雅黑" w:hAnsi="微软雅黑"/>
          <w:b/>
          <w:eastAsia w:val="微软雅黑"/>
        </w:rPr>
        <w:t>⑤ 什么时候会变：</w:t>
      </w:r>
      <w:r>
        <w:rPr>
          <w:rFonts w:ascii="微软雅黑" w:hAnsi="微软雅黑"/>
          <w:eastAsia w:val="微软雅黑"/>
        </w:rPr>
        <w:t>周频更新：每周收盘数据落地后重新计算即刷新；遇周涨跌幅绝对值≥5%、业绩预告/财报、成交结构异常，建议在复核日之前提前复核。</w:t>
      </w:r>
    </w:p>
    <w:p>
      <w:pPr>
        <w:pStyle w:val="Heading2"/>
      </w:pPr>
      <w:r>
        <w:t>风险与边界</w:t>
      </w:r>
    </w:p>
    <w:p>
      <w:r>
        <w:t>本报告为量化因子状态的客观描述工具。分数描述因子状态，不代表上涨概率、可能性或收益预期，亦不构成任何证券交易类操作建议或投资顾问服务。四个观察侧面仅用于拆解展示，不另设权重；风险维度得分高不等于绝对风险低。数据来自公开渠道，可能存在延迟或修正，请以交易所披露为准。</w:t>
      </w:r>
    </w:p>
    <w:p>
      <w:r>
        <w:rPr>
          <w:rFonts w:ascii="微软雅黑" w:hAnsi="微软雅黑"/>
          <w:color w:val="777777"/>
          <w:sz w:val="16"/>
          <w:eastAsia w:val="微软雅黑"/>
        </w:rPr>
        <w:t>Spike-2 渲染管线验证产物 · 生成时间 2026-10-17 17:00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eastAsia w:val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