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华友钴业（603799）周频因子诊断报告 · 合并版</w:t>
      </w:r>
    </w:p>
    <w:p>
      <w:r>
        <w:rPr>
          <w:b/>
        </w:rPr>
        <w:t>简要报告</w:t>
      </w:r>
    </w:p>
    <w:p>
      <w:pPr>
        <w:pStyle w:val="Heading2"/>
      </w:pPr>
      <w:r>
        <w:t>诊断对象与数据口径</w:t>
      </w:r>
    </w:p>
    <w:p>
      <w:r>
        <w:rPr>
          <w:b w:val="0"/>
        </w:rPr>
        <w:t>代码：603799　名称：华友钴业　观察日（出分日）：2026-10-16　同池：演示同池（沪深300 样本 20 只）（20 只有效样本）　建议复核日：2026-10-23</w:t>
      </w:r>
    </w:p>
    <w:p>
      <w:pPr>
        <w:pStyle w:val="Heading2"/>
      </w:pPr>
      <w:r>
        <w:t>诊断汇总</w:t>
      </w:r>
    </w:p>
    <w:p>
      <w:r>
        <w:rPr>
          <w:color w:val="1E7B3C"/>
        </w:rPr>
        <w:t>综合分 S=10.0（偏不利）</w:t>
      </w:r>
      <w:r>
        <w:t xml:space="preserve">　历史位置 H=17.3　同池排名 19/20</w:t>
      </w:r>
    </w:p>
    <w:p>
      <w:pPr>
        <w:pStyle w:val="Heading2"/>
      </w:pPr>
      <w:r>
        <w:t>第一层 · 一句话结论</w:t>
      </w:r>
    </w:p>
    <w:p>
      <w:r>
        <w:rPr>
          <w:b w:val="0"/>
        </w:rPr>
        <w:t>一句话结论：华友钴业（603799）当前 18 项因子状态在 演示同池（沪深300 样本 20 只） 同池中综合分 S=10（排名 19/20），历史位置参考分 H=17。分数描述因子状态的同池相对强弱，不代表上涨概率，不构成任何证券交易类操作建议。</w:t>
      </w:r>
    </w:p>
    <w:p>
      <w:pPr>
        <w:pStyle w:val="Heading2"/>
      </w:pPr>
      <w:r>
        <w:t>四个观察侧面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观察侧面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侧面均值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分档</w:t>
            </w:r>
          </w:p>
        </w:tc>
      </w:tr>
      <w:tr>
        <w:tc>
          <w:tcPr>
            <w:tcW w:type="dxa" w:w="2880"/>
          </w:tcPr>
          <w:p>
            <w:r>
              <w:t>估值特征</w:t>
            </w:r>
          </w:p>
        </w:tc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偏有利</w:t>
            </w:r>
          </w:p>
        </w:tc>
      </w:tr>
      <w:tr>
        <w:tc>
          <w:tcPr>
            <w:tcW w:type="dxa" w:w="2880"/>
          </w:tcPr>
          <w:p>
            <w:r>
              <w:t>价格行为</w:t>
            </w:r>
          </w:p>
        </w:tc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偏不利</w:t>
            </w:r>
          </w:p>
        </w:tc>
      </w:tr>
      <w:tr>
        <w:tc>
          <w:tcPr>
            <w:tcW w:type="dxa" w:w="2880"/>
          </w:tcPr>
          <w:p>
            <w:r>
              <w:t>交易行为</w:t>
            </w:r>
          </w:p>
        </w:tc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中性</w:t>
            </w:r>
          </w:p>
        </w:tc>
      </w:tr>
      <w:tr>
        <w:tc>
          <w:tcPr>
            <w:tcW w:type="dxa" w:w="2880"/>
          </w:tcPr>
          <w:p>
            <w:r>
              <w:t>风险特征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偏不利</w:t>
            </w:r>
          </w:p>
        </w:tc>
      </w:tr>
    </w:tbl>
    <w:p>
      <w:r>
        <w:rPr>
          <w:b w:val="0"/>
          <w:sz w:val="18"/>
        </w:rPr>
        <w:t>四个观察侧面仅用于拆解展示，不另设权重（BR-006）。</w:t>
      </w:r>
    </w:p>
    <w:p>
      <w:r>
        <w:drawing>
          <wp:inline xmlns:a="http://schemas.openxmlformats.org/drawingml/2006/main" xmlns:pic="http://schemas.openxmlformats.org/drawingml/2006/picture">
            <wp:extent cx="5461000" cy="24557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455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怎么读这个分数</w:t>
      </w:r>
    </w:p>
    <w:p>
      <w:r>
        <w:rPr>
          <w:b w:val="0"/>
        </w:rPr>
        <w:t>分数为同池相对强弱的百分位打分（0–100），仅代表当前因子状态的相对位置，不代表概率、可能性或收益预期。高于 60 读取为偏有利信号，低于 40 读取为偏不利信号，40–60 为中性区。综合分 S 是 18 项因子等权合成后放回同池重新排名；H 是此前 52 个完成周 S 值的相对位置，两者口径不同，不可直接相加或平均。</w:t>
      </w:r>
    </w:p>
    <w:p>
      <w:pPr>
        <w:pStyle w:val="Heading2"/>
      </w:pPr>
      <w:r>
        <w:t>第二层 · 白话解释</w:t>
      </w:r>
    </w:p>
    <w:p>
      <w:r>
        <w:rPr>
          <w:b w:val="0"/>
        </w:rPr>
        <w:t>① 用的数据：截至 2026-10-16 的日线级行情（价格、成交量、成交额、振幅、换手率）与日线估值（市盈率、市净率、总市值）。</w:t>
      </w:r>
    </w:p>
    <w:p>
      <w:r>
        <w:rPr>
          <w:b w:val="0"/>
        </w:rPr>
        <w:t>② 用的分析工具：18 项量化观察因子，分估值特征、价格行为、交易行为、风险特征四个观察侧面，统一方向后在同池内做平均并列名次的百分位打分，等权合成综合分 S。</w:t>
      </w:r>
    </w:p>
    <w:p>
      <w:r>
        <w:rPr>
          <w:b w:val="0"/>
        </w:rPr>
        <w:t>③ 合成一个数：S 是 18 项因子分的等权平均再放回同池重新排名（两级排名）；H 是此前 52 个完成周 S 的相对位置（17）。</w:t>
      </w:r>
    </w:p>
    <w:p>
      <w:r>
        <w:rPr>
          <w:b w:val="0"/>
        </w:rPr>
        <w:t>④ 是什么意思/不是什么意思：S=10 高于 60 读取为偏有利、低于 40 读取为偏不利、40–60 为中性区；它只描述当前因子状态在同池中的相对强弱，不代表上涨概率、收益预期，也不构成任何操作指令。本期相对有利项：筹码交换强度；相对拖累项：短周期价格动量、中周期价格动量、长周期趋势位置。</w:t>
      </w:r>
    </w:p>
    <w:p>
      <w:r>
        <w:rPr>
          <w:b w:val="0"/>
        </w:rPr>
        <w:t>⑤ 什么时候会变：周频更新，每周收盘数据落地后重新计算即刷新；近一周涨跌幅 -9.4%，波动较大；建议复核日 2026-10-23。</w:t>
      </w:r>
    </w:p>
    <w:p>
      <w:pPr>
        <w:pStyle w:val="Heading2"/>
      </w:pPr>
      <w:r>
        <w:t>风险与边界</w:t>
      </w:r>
    </w:p>
    <w:p>
      <w:r>
        <w:rPr>
          <w:b w:val="0"/>
        </w:rPr>
        <w:t>本报告为量化因子状态的客观描述工具。分数描述因子状态，不代表上涨概率、可能性或收益预期，亦不构成任何证券交易类操作建议或投资顾问服务。四个观察侧面仅用于拆解展示，不另设权重；风险维度得分高不等于绝对风险低。数据来自公开渠道，可能存在延迟或修正，请以交易所披露为准。</w:t>
      </w:r>
    </w:p>
    <w:p>
      <w:r>
        <w:rPr>
          <w:b w:val="0"/>
          <w:sz w:val="18"/>
        </w:rPr>
        <w:t>近一周涨跌幅 -9.4%（绝对值≥5%），建议在复核日之前提前复核。</w:t>
      </w:r>
    </w:p>
    <w:p>
      <w:r>
        <w:rPr>
          <w:b w:val="0"/>
          <w:sz w:val="18"/>
        </w:rPr>
        <w:t>如遇业绩预告/定期财报披露或成交结构异常，建议提前复核。</w:t>
      </w:r>
    </w:p>
    <w:p>
      <w:r>
        <w:br w:type="page"/>
      </w:r>
    </w:p>
    <w:p>
      <w:r>
        <w:rPr>
          <w:b/>
        </w:rPr>
        <w:t>详细报告</w:t>
      </w:r>
    </w:p>
    <w:p>
      <w:pPr>
        <w:pStyle w:val="Heading2"/>
      </w:pPr>
      <w:r>
        <w:t>因子视角的客观评估</w:t>
      </w:r>
    </w:p>
    <w:p>
      <w:r>
        <w:rPr>
          <w:b w:val="0"/>
        </w:rPr>
        <w:t>综合分 S=10.0（演示同池（沪深300 样本 20 只） 第 19/20 名），18 项日线因子，等权合成两级排名（BR-006 口径）。</w:t>
      </w:r>
    </w:p>
    <w:p>
      <w:pPr>
        <w:pStyle w:val="Heading2"/>
      </w:pPr>
      <w:r>
        <w:t>当前状态的两种比较</w:t>
      </w:r>
    </w:p>
    <w:p>
      <w:r>
        <w:rPr>
          <w:b w:val="0"/>
        </w:rPr>
        <w:t>S 为横截面位置（10.0），H 为时间序列位置（17.3）；两者口径不同，不可相加或平均。</w:t>
      </w:r>
    </w:p>
    <w:p>
      <w:pPr>
        <w:pStyle w:val="Heading2"/>
      </w:pPr>
      <w:r>
        <w:t>分项信号的分布</w:t>
      </w:r>
    </w:p>
    <w:p>
      <w:r>
        <w:drawing>
          <wp:inline xmlns:a="http://schemas.openxmlformats.org/drawingml/2006/main" xmlns:pic="http://schemas.openxmlformats.org/drawingml/2006/picture">
            <wp:extent cx="5461000" cy="32334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233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宽口径维度观察</w:t>
      </w:r>
    </w:p>
    <w:p>
      <w:r>
        <w:rPr>
          <w:b w:val="0"/>
        </w:rPr>
        <w:t>宽口径维度观察：估值 3 / 价格 7 / 交易 4 / 风险 4，共 18 项（附表 A）。</w:t>
      </w:r>
    </w:p>
    <w:p>
      <w:pPr>
        <w:pStyle w:val="Heading2"/>
      </w:pPr>
      <w:r>
        <w:t>自身历史位置与持续性</w:t>
      </w:r>
    </w:p>
    <w:p>
      <w:r>
        <w:drawing>
          <wp:inline xmlns:a="http://schemas.openxmlformats.org/drawingml/2006/main" xmlns:pic="http://schemas.openxmlformats.org/drawingml/2006/picture">
            <wp:extent cx="5461000" cy="23703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70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当前得分在过去出现的位置</w:t>
      </w:r>
    </w:p>
    <w:p>
      <w:r>
        <w:drawing>
          <wp:inline xmlns:a="http://schemas.openxmlformats.org/drawingml/2006/main" xmlns:pic="http://schemas.openxmlformats.org/drawingml/2006/picture">
            <wp:extent cx="5461000" cy="24897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489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统计证据与解释边界</w:t>
      </w:r>
    </w:p>
    <w:p>
      <w:r>
        <w:rPr>
          <w:b w:val="0"/>
        </w:rPr>
        <w:t>因子分矩阵统计与解释边界详见在线版；分数不代表上涨概率、可能性或收益预期（BR-003）。</w:t>
      </w:r>
    </w:p>
    <w:p>
      <w:pPr>
        <w:pStyle w:val="Heading2"/>
      </w:pPr>
      <w:r>
        <w:t>匿名因子明细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侧面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观察项（匿名标签）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同池百分位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分档</w:t>
            </w:r>
          </w:p>
        </w:tc>
      </w:tr>
      <w:tr>
        <w:tc>
          <w:tcPr>
            <w:tcW w:type="dxa" w:w="1728"/>
          </w:tcPr>
          <w:p>
            <w:r>
              <w:t>F1</w:t>
            </w:r>
          </w:p>
        </w:tc>
        <w:tc>
          <w:tcPr>
            <w:tcW w:type="dxa" w:w="1728"/>
          </w:tcPr>
          <w:p>
            <w:r>
              <w:t>估值特征</w:t>
            </w:r>
          </w:p>
        </w:tc>
        <w:tc>
          <w:tcPr>
            <w:tcW w:type="dxa" w:w="1728"/>
          </w:tcPr>
          <w:p>
            <w:r>
              <w:t>估值·定价水平</w:t>
            </w:r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偏有利</w:t>
            </w:r>
          </w:p>
        </w:tc>
      </w:tr>
      <w:tr>
        <w:tc>
          <w:tcPr>
            <w:tcW w:type="dxa" w:w="1728"/>
          </w:tcPr>
          <w:p>
            <w:r>
              <w:t>F2</w:t>
            </w:r>
          </w:p>
        </w:tc>
        <w:tc>
          <w:tcPr>
            <w:tcW w:type="dxa" w:w="1728"/>
          </w:tcPr>
          <w:p>
            <w:r>
              <w:t>估值特征</w:t>
            </w:r>
          </w:p>
        </w:tc>
        <w:tc>
          <w:tcPr>
            <w:tcW w:type="dxa" w:w="1728"/>
          </w:tcPr>
          <w:p>
            <w:r>
              <w:t>估值·资产口径</w:t>
            </w:r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偏有利</w:t>
            </w:r>
          </w:p>
        </w:tc>
      </w:tr>
      <w:tr>
        <w:tc>
          <w:tcPr>
            <w:tcW w:type="dxa" w:w="1728"/>
          </w:tcPr>
          <w:p>
            <w:r>
              <w:t>F3</w:t>
            </w:r>
          </w:p>
        </w:tc>
        <w:tc>
          <w:tcPr>
            <w:tcW w:type="dxa" w:w="1728"/>
          </w:tcPr>
          <w:p>
            <w:r>
              <w:t>估值特征</w:t>
            </w:r>
          </w:p>
        </w:tc>
        <w:tc>
          <w:tcPr>
            <w:tcW w:type="dxa" w:w="1728"/>
          </w:tcPr>
          <w:p>
            <w:r>
              <w:t>市值·规模位置</w:t>
            </w:r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偏有利</w:t>
            </w:r>
          </w:p>
        </w:tc>
      </w:tr>
      <w:tr>
        <w:tc>
          <w:tcPr>
            <w:tcW w:type="dxa" w:w="1728"/>
          </w:tcPr>
          <w:p>
            <w:r>
              <w:t>F4</w:t>
            </w:r>
          </w:p>
        </w:tc>
        <w:tc>
          <w:tcPr>
            <w:tcW w:type="dxa" w:w="1728"/>
          </w:tcPr>
          <w:p>
            <w:r>
              <w:t>价格行为</w:t>
            </w:r>
          </w:p>
        </w:tc>
        <w:tc>
          <w:tcPr>
            <w:tcW w:type="dxa" w:w="1728"/>
          </w:tcPr>
          <w:p>
            <w:r>
              <w:t>短周期价格动量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  <w:tc>
          <w:tcPr>
            <w:tcW w:type="dxa" w:w="1728"/>
          </w:tcPr>
          <w:p>
            <w:r>
              <w:t>偏不利</w:t>
            </w:r>
          </w:p>
        </w:tc>
      </w:tr>
      <w:tr>
        <w:tc>
          <w:tcPr>
            <w:tcW w:type="dxa" w:w="1728"/>
          </w:tcPr>
          <w:p>
            <w:r>
              <w:t>F5</w:t>
            </w:r>
          </w:p>
        </w:tc>
        <w:tc>
          <w:tcPr>
            <w:tcW w:type="dxa" w:w="1728"/>
          </w:tcPr>
          <w:p>
            <w:r>
              <w:t>价格行为</w:t>
            </w:r>
          </w:p>
        </w:tc>
        <w:tc>
          <w:tcPr>
            <w:tcW w:type="dxa" w:w="1728"/>
          </w:tcPr>
          <w:p>
            <w:r>
              <w:t>中周期价格动量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  <w:tc>
          <w:tcPr>
            <w:tcW w:type="dxa" w:w="1728"/>
          </w:tcPr>
          <w:p>
            <w:r>
              <w:t>偏不利</w:t>
            </w:r>
          </w:p>
        </w:tc>
      </w:tr>
      <w:tr>
        <w:tc>
          <w:tcPr>
            <w:tcW w:type="dxa" w:w="1728"/>
          </w:tcPr>
          <w:p>
            <w:r>
              <w:t>F6</w:t>
            </w:r>
          </w:p>
        </w:tc>
        <w:tc>
          <w:tcPr>
            <w:tcW w:type="dxa" w:w="1728"/>
          </w:tcPr>
          <w:p>
            <w:r>
              <w:t>价格行为</w:t>
            </w:r>
          </w:p>
        </w:tc>
        <w:tc>
          <w:tcPr>
            <w:tcW w:type="dxa" w:w="1728"/>
          </w:tcPr>
          <w:p>
            <w:r>
              <w:t>长周期趋势位置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偏不利</w:t>
            </w:r>
          </w:p>
        </w:tc>
      </w:tr>
      <w:tr>
        <w:tc>
          <w:tcPr>
            <w:tcW w:type="dxa" w:w="1728"/>
          </w:tcPr>
          <w:p>
            <w:r>
              <w:t>F7</w:t>
            </w:r>
          </w:p>
        </w:tc>
        <w:tc>
          <w:tcPr>
            <w:tcW w:type="dxa" w:w="1728"/>
          </w:tcPr>
          <w:p>
            <w:r>
              <w:t>价格行为</w:t>
            </w:r>
          </w:p>
        </w:tc>
        <w:tc>
          <w:tcPr>
            <w:tcW w:type="dxa" w:w="1728"/>
          </w:tcPr>
          <w:p>
            <w:r>
              <w:t>趋势结构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  <w:tc>
          <w:tcPr>
            <w:tcW w:type="dxa" w:w="1728"/>
          </w:tcPr>
          <w:p>
            <w:r>
              <w:t>偏不利</w:t>
            </w:r>
          </w:p>
        </w:tc>
      </w:tr>
      <w:tr>
        <w:tc>
          <w:tcPr>
            <w:tcW w:type="dxa" w:w="1728"/>
          </w:tcPr>
          <w:p>
            <w:r>
              <w:t>F8</w:t>
            </w:r>
          </w:p>
        </w:tc>
        <w:tc>
          <w:tcPr>
            <w:tcW w:type="dxa" w:w="1728"/>
          </w:tcPr>
          <w:p>
            <w:r>
              <w:t>价格行为</w:t>
            </w:r>
          </w:p>
        </w:tc>
        <w:tc>
          <w:tcPr>
            <w:tcW w:type="dxa" w:w="1728"/>
          </w:tcPr>
          <w:p>
            <w:r>
              <w:t>年度区间位置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  <w:tc>
          <w:tcPr>
            <w:tcW w:type="dxa" w:w="1728"/>
          </w:tcPr>
          <w:p>
            <w:r>
              <w:t>偏不利</w:t>
            </w:r>
          </w:p>
        </w:tc>
      </w:tr>
      <w:tr>
        <w:tc>
          <w:tcPr>
            <w:tcW w:type="dxa" w:w="1728"/>
          </w:tcPr>
          <w:p>
            <w:r>
              <w:t>F9</w:t>
            </w:r>
          </w:p>
        </w:tc>
        <w:tc>
          <w:tcPr>
            <w:tcW w:type="dxa" w:w="1728"/>
          </w:tcPr>
          <w:p>
            <w:r>
              <w:t>价格行为</w:t>
            </w:r>
          </w:p>
        </w:tc>
        <w:tc>
          <w:tcPr>
            <w:tcW w:type="dxa" w:w="1728"/>
          </w:tcPr>
          <w:p>
            <w:r>
              <w:t>短期动能变化</w:t>
            </w:r>
          </w:p>
        </w:tc>
        <w:tc>
          <w:tcPr>
            <w:tcW w:type="dxa" w:w="1728"/>
          </w:tcPr>
          <w:p>
            <w:r>
              <w:t>70.0</w:t>
            </w:r>
          </w:p>
        </w:tc>
        <w:tc>
          <w:tcPr>
            <w:tcW w:type="dxa" w:w="1728"/>
          </w:tcPr>
          <w:p>
            <w:r>
              <w:t>偏有利</w:t>
            </w:r>
          </w:p>
        </w:tc>
      </w:tr>
      <w:tr>
        <w:tc>
          <w:tcPr>
            <w:tcW w:type="dxa" w:w="1728"/>
          </w:tcPr>
          <w:p>
            <w:r>
              <w:t>F10</w:t>
            </w:r>
          </w:p>
        </w:tc>
        <w:tc>
          <w:tcPr>
            <w:tcW w:type="dxa" w:w="1728"/>
          </w:tcPr>
          <w:p>
            <w:r>
              <w:t>价格行为</w:t>
            </w:r>
          </w:p>
        </w:tc>
        <w:tc>
          <w:tcPr>
            <w:tcW w:type="dxa" w:w="1728"/>
          </w:tcPr>
          <w:p>
            <w:r>
              <w:t>上行一致性</w:t>
            </w:r>
          </w:p>
        </w:tc>
        <w:tc>
          <w:tcPr>
            <w:tcW w:type="dxa" w:w="1728"/>
          </w:tcPr>
          <w:p>
            <w:r>
              <w:t>30.0</w:t>
            </w:r>
          </w:p>
        </w:tc>
        <w:tc>
          <w:tcPr>
            <w:tcW w:type="dxa" w:w="1728"/>
          </w:tcPr>
          <w:p>
            <w:r>
              <w:t>偏不利</w:t>
            </w:r>
          </w:p>
        </w:tc>
      </w:tr>
      <w:tr>
        <w:tc>
          <w:tcPr>
            <w:tcW w:type="dxa" w:w="1728"/>
          </w:tcPr>
          <w:p>
            <w:r>
              <w:t>F11</w:t>
            </w:r>
          </w:p>
        </w:tc>
        <w:tc>
          <w:tcPr>
            <w:tcW w:type="dxa" w:w="1728"/>
          </w:tcPr>
          <w:p>
            <w:r>
              <w:t>交易行为</w:t>
            </w:r>
          </w:p>
        </w:tc>
        <w:tc>
          <w:tcPr>
            <w:tcW w:type="dxa" w:w="1728"/>
          </w:tcPr>
          <w:p>
            <w:r>
              <w:t>交易活跃度</w:t>
            </w:r>
          </w:p>
        </w:tc>
        <w:tc>
          <w:tcPr>
            <w:tcW w:type="dxa" w:w="1728"/>
          </w:tcPr>
          <w:p>
            <w:r>
              <w:t>25.0</w:t>
            </w:r>
          </w:p>
        </w:tc>
        <w:tc>
          <w:tcPr>
            <w:tcW w:type="dxa" w:w="1728"/>
          </w:tcPr>
          <w:p>
            <w:r>
              <w:t>偏不利</w:t>
            </w:r>
          </w:p>
        </w:tc>
      </w:tr>
      <w:tr>
        <w:tc>
          <w:tcPr>
            <w:tcW w:type="dxa" w:w="1728"/>
          </w:tcPr>
          <w:p>
            <w:r>
              <w:t>F12</w:t>
            </w:r>
          </w:p>
        </w:tc>
        <w:tc>
          <w:tcPr>
            <w:tcW w:type="dxa" w:w="1728"/>
          </w:tcPr>
          <w:p>
            <w:r>
              <w:t>交易行为</w:t>
            </w:r>
          </w:p>
        </w:tc>
        <w:tc>
          <w:tcPr>
            <w:tcW w:type="dxa" w:w="1728"/>
          </w:tcPr>
          <w:p>
            <w:r>
              <w:t>量能扩张度</w:t>
            </w:r>
          </w:p>
        </w:tc>
        <w:tc>
          <w:tcPr>
            <w:tcW w:type="dxa" w:w="1728"/>
          </w:tcPr>
          <w:p>
            <w:r>
              <w:t>15.0</w:t>
            </w:r>
          </w:p>
        </w:tc>
        <w:tc>
          <w:tcPr>
            <w:tcW w:type="dxa" w:w="1728"/>
          </w:tcPr>
          <w:p>
            <w:r>
              <w:t>偏不利</w:t>
            </w:r>
          </w:p>
        </w:tc>
      </w:tr>
      <w:tr>
        <w:tc>
          <w:tcPr>
            <w:tcW w:type="dxa" w:w="1728"/>
          </w:tcPr>
          <w:p>
            <w:r>
              <w:t>F13</w:t>
            </w:r>
          </w:p>
        </w:tc>
        <w:tc>
          <w:tcPr>
            <w:tcW w:type="dxa" w:w="1728"/>
          </w:tcPr>
          <w:p>
            <w:r>
              <w:t>交易行为</w:t>
            </w:r>
          </w:p>
        </w:tc>
        <w:tc>
          <w:tcPr>
            <w:tcW w:type="dxa" w:w="1728"/>
          </w:tcPr>
          <w:p>
            <w:r>
              <w:t>量价配合度</w:t>
            </w:r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偏有利</w:t>
            </w:r>
          </w:p>
        </w:tc>
      </w:tr>
      <w:tr>
        <w:tc>
          <w:tcPr>
            <w:tcW w:type="dxa" w:w="1728"/>
          </w:tcPr>
          <w:p>
            <w:r>
              <w:t>F14</w:t>
            </w:r>
          </w:p>
        </w:tc>
        <w:tc>
          <w:tcPr>
            <w:tcW w:type="dxa" w:w="1728"/>
          </w:tcPr>
          <w:p>
            <w:r>
              <w:t>交易行为</w:t>
            </w:r>
          </w:p>
        </w:tc>
        <w:tc>
          <w:tcPr>
            <w:tcW w:type="dxa" w:w="1728"/>
          </w:tcPr>
          <w:p>
            <w:r>
              <w:t>筹码交换强度</w:t>
            </w:r>
          </w:p>
        </w:tc>
        <w:tc>
          <w:tcPr>
            <w:tcW w:type="dxa" w:w="1728"/>
          </w:tcPr>
          <w:p>
            <w:r>
              <w:t>100.0</w:t>
            </w:r>
          </w:p>
        </w:tc>
        <w:tc>
          <w:tcPr>
            <w:tcW w:type="dxa" w:w="1728"/>
          </w:tcPr>
          <w:p>
            <w:r>
              <w:t>偏有利</w:t>
            </w:r>
          </w:p>
        </w:tc>
      </w:tr>
      <w:tr>
        <w:tc>
          <w:tcPr>
            <w:tcW w:type="dxa" w:w="1728"/>
          </w:tcPr>
          <w:p>
            <w:r>
              <w:t>F15</w:t>
            </w:r>
          </w:p>
        </w:tc>
        <w:tc>
          <w:tcPr>
            <w:tcW w:type="dxa" w:w="1728"/>
          </w:tcPr>
          <w:p>
            <w:r>
              <w:t>风险特征</w:t>
            </w:r>
          </w:p>
        </w:tc>
        <w:tc>
          <w:tcPr>
            <w:tcW w:type="dxa" w:w="1728"/>
          </w:tcPr>
          <w:p>
            <w:r>
              <w:t>短期波动</w:t>
            </w:r>
          </w:p>
        </w:tc>
        <w:tc>
          <w:tcPr>
            <w:tcW w:type="dxa" w:w="1728"/>
          </w:tcPr>
          <w:p>
            <w:r>
              <w:t>15.0</w:t>
            </w:r>
          </w:p>
        </w:tc>
        <w:tc>
          <w:tcPr>
            <w:tcW w:type="dxa" w:w="1728"/>
          </w:tcPr>
          <w:p>
            <w:r>
              <w:t>偏不利</w:t>
            </w:r>
          </w:p>
        </w:tc>
      </w:tr>
      <w:tr>
        <w:tc>
          <w:tcPr>
            <w:tcW w:type="dxa" w:w="1728"/>
          </w:tcPr>
          <w:p>
            <w:r>
              <w:t>F16</w:t>
            </w:r>
          </w:p>
        </w:tc>
        <w:tc>
          <w:tcPr>
            <w:tcW w:type="dxa" w:w="1728"/>
          </w:tcPr>
          <w:p>
            <w:r>
              <w:t>风险特征</w:t>
            </w:r>
          </w:p>
        </w:tc>
        <w:tc>
          <w:tcPr>
            <w:tcW w:type="dxa" w:w="1728"/>
          </w:tcPr>
          <w:p>
            <w:r>
              <w:t>中期波动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偏不利</w:t>
            </w:r>
          </w:p>
        </w:tc>
      </w:tr>
      <w:tr>
        <w:tc>
          <w:tcPr>
            <w:tcW w:type="dxa" w:w="1728"/>
          </w:tcPr>
          <w:p>
            <w:r>
              <w:t>F17</w:t>
            </w:r>
          </w:p>
        </w:tc>
        <w:tc>
          <w:tcPr>
            <w:tcW w:type="dxa" w:w="1728"/>
          </w:tcPr>
          <w:p>
            <w:r>
              <w:t>风险特征</w:t>
            </w:r>
          </w:p>
        </w:tc>
        <w:tc>
          <w:tcPr>
            <w:tcW w:type="dxa" w:w="1728"/>
          </w:tcPr>
          <w:p>
            <w:r>
              <w:t>区间回撤深度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偏不利</w:t>
            </w:r>
          </w:p>
        </w:tc>
      </w:tr>
      <w:tr>
        <w:tc>
          <w:tcPr>
            <w:tcW w:type="dxa" w:w="1728"/>
          </w:tcPr>
          <w:p>
            <w:r>
              <w:t>F18</w:t>
            </w:r>
          </w:p>
        </w:tc>
        <w:tc>
          <w:tcPr>
            <w:tcW w:type="dxa" w:w="1728"/>
          </w:tcPr>
          <w:p>
            <w:r>
              <w:t>风险特征</w:t>
            </w:r>
          </w:p>
        </w:tc>
        <w:tc>
          <w:tcPr>
            <w:tcW w:type="dxa" w:w="1728"/>
          </w:tcPr>
          <w:p>
            <w:r>
              <w:t>日内振幅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  <w:tc>
          <w:tcPr>
            <w:tcW w:type="dxa" w:w="1728"/>
          </w:tcPr>
          <w:p>
            <w:r>
              <w:t>偏不利</w:t>
            </w:r>
          </w:p>
        </w:tc>
      </w:tr>
    </w:tbl>
    <w:p>
      <w:r>
        <w:rPr>
          <w:b w:val="0"/>
          <w:sz w:val="18"/>
        </w:rPr>
        <w:t>因子对外仅展示匿名标签与数学原理示意；内部实现依据 spec 附表 A（PM 审定冻结）。</w:t>
      </w:r>
    </w:p>
    <w:p>
      <w:pPr>
        <w:pStyle w:val="Heading2"/>
      </w:pPr>
      <w:r>
        <w:t>数学方法与数据覆盖</w:t>
      </w:r>
    </w:p>
    <w:p>
      <w:r>
        <w:rPr>
          <w:b w:val="0"/>
        </w:rPr>
        <w:t>数学方法：平均并列名次百分位（0–100）→ 等权合成 → 同池两级排名；H 为 52 完成周历史百分位。数据覆盖：日线级行情与截面估值（NG-006，CR-S-002）。</w:t>
      </w:r>
    </w:p>
    <w:p>
      <w:r>
        <w:rPr>
          <w:b w:val="0"/>
          <w:sz w:val="16"/>
        </w:rPr>
        <w:t>本报告为量化因子状态的客观描述工具。分数描述因子状态，不代表上涨概率、可能性或收益预期，亦不构成任何证券交易类操作建议或投资顾问服务。四个观察侧面仅用于拆解展示，不另设权重；风险维度得分高不等于绝对风险低。数据来自公开渠道，可能存在延迟或修正，请以交易所披露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