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7"/>
        <w:gridCol w:w="66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6" w:hRule="atLeast"/>
        </w:trPr>
        <w:tc>
          <w:tcPr>
            <w:tcW w:w="8306" w:type="dxa"/>
            <w:gridSpan w:val="2"/>
            <w:tcBorders>
              <w:top w:val="single" w:color="000000" w:sz="6" w:space="0"/>
              <w:bottom w:val="single" w:color="C00000" w:sz="24" w:space="0"/>
            </w:tcBorders>
          </w:tcPr>
          <w:p>
            <w:pPr>
              <w:pStyle w:val="11"/>
              <w:spacing w:before="61" w:line="240" w:lineRule="auto"/>
              <w:ind w:left="158" w:right="156"/>
              <w:jc w:val="center"/>
              <w:rPr>
                <w:rFonts w:hint="eastAsia" w:ascii="宋体" w:hAnsi="宋体" w:eastAsia="宋体" w:cs="宋体"/>
                <w:b/>
                <w:sz w:val="72"/>
                <w:szCs w:val="7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72"/>
                <w:szCs w:val="72"/>
              </w:rPr>
              <w:t>自然语言处理</w:t>
            </w:r>
            <w:r>
              <w:rPr>
                <w:rFonts w:hint="eastAsia" w:ascii="宋体" w:hAnsi="宋体" w:eastAsia="宋体" w:cs="宋体"/>
                <w:b/>
                <w:sz w:val="72"/>
                <w:szCs w:val="72"/>
                <w:lang w:val="en-US" w:eastAsia="zh-CN"/>
              </w:rPr>
              <w:t>及应用</w:t>
            </w:r>
          </w:p>
          <w:p>
            <w:pPr>
              <w:pStyle w:val="11"/>
              <w:spacing w:before="120" w:line="240" w:lineRule="auto"/>
              <w:ind w:left="158" w:right="155"/>
              <w:jc w:val="center"/>
              <w:rPr>
                <w:b/>
                <w:sz w:val="88"/>
              </w:rPr>
            </w:pPr>
            <w:r>
              <w:rPr>
                <w:rFonts w:hint="eastAsia" w:ascii="宋体" w:hAnsi="宋体" w:eastAsia="宋体" w:cs="宋体"/>
                <w:b/>
                <w:sz w:val="72"/>
                <w:szCs w:val="72"/>
                <w:lang w:val="en-US" w:eastAsia="zh-CN"/>
              </w:rPr>
              <w:t>实验</w:t>
            </w:r>
            <w:r>
              <w:rPr>
                <w:rFonts w:hint="eastAsia" w:ascii="宋体" w:hAnsi="宋体" w:eastAsia="宋体" w:cs="宋体"/>
                <w:b/>
                <w:sz w:val="72"/>
                <w:szCs w:val="72"/>
              </w:rPr>
              <w:t>报告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" w:hRule="atLeast"/>
        </w:trPr>
        <w:tc>
          <w:tcPr>
            <w:tcW w:w="8306" w:type="dxa"/>
            <w:gridSpan w:val="2"/>
            <w:tcBorders>
              <w:top w:val="single" w:color="C00000" w:sz="24" w:space="0"/>
              <w:bottom w:val="single" w:color="C00000" w:sz="6" w:space="0"/>
            </w:tcBorders>
          </w:tcPr>
          <w:p>
            <w:pPr>
              <w:pStyle w:val="11"/>
              <w:spacing w:line="240" w:lineRule="auto"/>
              <w:rPr>
                <w:rFonts w:ascii="Times New Roman"/>
                <w:sz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5" w:hRule="atLeast"/>
        </w:trPr>
        <w:tc>
          <w:tcPr>
            <w:tcW w:w="1697" w:type="dxa"/>
            <w:tcBorders>
              <w:top w:val="single" w:color="C00000" w:sz="6" w:space="0"/>
            </w:tcBorders>
          </w:tcPr>
          <w:p>
            <w:pPr>
              <w:pStyle w:val="11"/>
              <w:spacing w:line="240" w:lineRule="auto"/>
              <w:rPr>
                <w:rFonts w:ascii="Times New Roman"/>
                <w:sz w:val="46"/>
              </w:rPr>
            </w:pPr>
          </w:p>
        </w:tc>
        <w:tc>
          <w:tcPr>
            <w:tcW w:w="6609" w:type="dxa"/>
            <w:tcBorders>
              <w:top w:val="single" w:color="C00000" w:sz="6" w:space="0"/>
            </w:tcBorders>
          </w:tcPr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line="240" w:lineRule="auto"/>
              <w:rPr>
                <w:rFonts w:ascii="Times New Roman"/>
                <w:sz w:val="20"/>
              </w:rPr>
            </w:pPr>
          </w:p>
          <w:p>
            <w:pPr>
              <w:pStyle w:val="11"/>
              <w:spacing w:before="10" w:line="240" w:lineRule="auto"/>
              <w:rPr>
                <w:rFonts w:ascii="Times New Roman"/>
                <w:sz w:val="10"/>
              </w:rPr>
            </w:pPr>
          </w:p>
          <w:p>
            <w:pPr>
              <w:pStyle w:val="11"/>
              <w:spacing w:line="240" w:lineRule="auto"/>
              <w:ind w:left="83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055495" cy="2048510"/>
                  <wp:effectExtent l="0" t="0" r="1905" b="889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839" cy="204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6" w:hRule="atLeast"/>
        </w:trPr>
        <w:tc>
          <w:tcPr>
            <w:tcW w:w="1697" w:type="dxa"/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eastAsia="宋体" w:cs="Times New Roman"/>
                <w:sz w:val="49"/>
              </w:rPr>
            </w:pPr>
          </w:p>
          <w:p>
            <w:pPr>
              <w:pStyle w:val="11"/>
              <w:spacing w:line="240" w:lineRule="auto"/>
              <w:ind w:left="115"/>
              <w:rPr>
                <w:rFonts w:hint="default" w:ascii="Times New Roman" w:hAnsi="Times New Roman" w:eastAsia="宋体" w:cs="Times New Roman"/>
                <w:b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  <w:t>名称</w:t>
            </w:r>
          </w:p>
        </w:tc>
        <w:tc>
          <w:tcPr>
            <w:tcW w:w="6609" w:type="dxa"/>
            <w:tcBorders>
              <w:bottom w:val="triple" w:color="C00000" w:sz="4" w:space="0"/>
            </w:tcBorders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eastAsia="宋体" w:cs="Times New Roman"/>
                <w:sz w:val="49"/>
              </w:rPr>
            </w:pPr>
          </w:p>
          <w:p>
            <w:pPr>
              <w:pStyle w:val="11"/>
              <w:spacing w:line="240" w:lineRule="auto"/>
              <w:rPr>
                <w:rFonts w:hint="default" w:ascii="Times New Roman" w:hAnsi="Times New Roman" w:eastAsia="宋体" w:cs="Times New Roman"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大作业_sBert (group 4)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" w:hRule="atLeast"/>
        </w:trPr>
        <w:tc>
          <w:tcPr>
            <w:tcW w:w="1697" w:type="dxa"/>
          </w:tcPr>
          <w:p>
            <w:pPr>
              <w:pStyle w:val="11"/>
              <w:spacing w:before="141" w:line="240" w:lineRule="auto"/>
              <w:ind w:left="115"/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  <w:t>姓名</w:t>
            </w:r>
          </w:p>
        </w:tc>
        <w:tc>
          <w:tcPr>
            <w:tcW w:w="6609" w:type="dxa"/>
            <w:tcBorders>
              <w:top w:val="triple" w:color="C00000" w:sz="4" w:space="0"/>
              <w:bottom w:val="triple" w:color="C00000" w:sz="4" w:space="0"/>
            </w:tcBorders>
          </w:tcPr>
          <w:p>
            <w:pPr>
              <w:pStyle w:val="11"/>
              <w:spacing w:before="141" w:line="240" w:lineRule="auto"/>
              <w:ind w:left="114"/>
              <w:rPr>
                <w:rFonts w:hint="default" w:ascii="Times New Roman" w:hAnsi="Times New Roman" w:eastAsia="宋体" w:cs="Times New Roman"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卢佳源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1697" w:type="dxa"/>
          </w:tcPr>
          <w:p>
            <w:pPr>
              <w:pStyle w:val="11"/>
              <w:spacing w:before="141" w:line="240" w:lineRule="auto"/>
              <w:ind w:left="115"/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  <w:t>班级</w:t>
            </w:r>
          </w:p>
        </w:tc>
        <w:tc>
          <w:tcPr>
            <w:tcW w:w="6609" w:type="dxa"/>
            <w:tcBorders>
              <w:top w:val="triple" w:color="C00000" w:sz="4" w:space="0"/>
              <w:bottom w:val="triple" w:color="C00000" w:sz="4" w:space="0"/>
            </w:tcBorders>
          </w:tcPr>
          <w:p>
            <w:pPr>
              <w:pStyle w:val="11"/>
              <w:spacing w:before="141" w:line="240" w:lineRule="auto"/>
              <w:ind w:left="114"/>
              <w:rPr>
                <w:rFonts w:hint="default" w:ascii="Times New Roman" w:hAnsi="Times New Roman" w:eastAsia="宋体" w:cs="Times New Roman"/>
                <w:sz w:val="40"/>
              </w:rPr>
            </w:pPr>
            <w:r>
              <w:rPr>
                <w:rFonts w:hint="default" w:ascii="Times New Roman" w:hAnsi="Times New Roman" w:eastAsia="宋体" w:cs="Times New Roman"/>
                <w:sz w:val="40"/>
              </w:rPr>
              <w:t>人工智能91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5" w:hRule="atLeast"/>
        </w:trPr>
        <w:tc>
          <w:tcPr>
            <w:tcW w:w="1697" w:type="dxa"/>
          </w:tcPr>
          <w:p>
            <w:pPr>
              <w:pStyle w:val="11"/>
              <w:spacing w:before="144" w:line="240" w:lineRule="auto"/>
              <w:ind w:left="115"/>
              <w:rPr>
                <w:rFonts w:hint="default" w:ascii="Times New Roman" w:hAnsi="Times New Roman" w:eastAsia="宋体" w:cs="Times New Roman"/>
                <w:b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sz w:val="40"/>
                <w:lang w:val="en-US" w:eastAsia="zh-CN"/>
              </w:rPr>
              <w:t>学号</w:t>
            </w:r>
          </w:p>
        </w:tc>
        <w:tc>
          <w:tcPr>
            <w:tcW w:w="6609" w:type="dxa"/>
            <w:tcBorders>
              <w:top w:val="triple" w:color="C00000" w:sz="4" w:space="0"/>
              <w:bottom w:val="triple" w:color="C00000" w:sz="4" w:space="0"/>
            </w:tcBorders>
          </w:tcPr>
          <w:p>
            <w:pPr>
              <w:pStyle w:val="11"/>
              <w:spacing w:before="144" w:line="240" w:lineRule="auto"/>
              <w:ind w:left="114"/>
              <w:rPr>
                <w:rFonts w:hint="default" w:ascii="Times New Roman" w:hAnsi="Times New Roman" w:eastAsia="宋体" w:cs="Times New Roman"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2191121196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697" w:type="dxa"/>
            <w:vAlign w:val="center"/>
          </w:tcPr>
          <w:p>
            <w:pPr>
              <w:pStyle w:val="11"/>
              <w:spacing w:before="107" w:line="240" w:lineRule="auto"/>
              <w:ind w:left="115"/>
              <w:jc w:val="both"/>
              <w:rPr>
                <w:rFonts w:hint="default" w:ascii="Times New Roman" w:hAnsi="Times New Roman" w:eastAsia="宋体" w:cs="Times New Roman"/>
                <w:b/>
                <w:sz w:val="40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val="en-US" w:eastAsia="zh-CN"/>
              </w:rPr>
              <w:t>Email</w:t>
            </w:r>
          </w:p>
        </w:tc>
        <w:tc>
          <w:tcPr>
            <w:tcW w:w="6609" w:type="dxa"/>
            <w:tcBorders>
              <w:top w:val="triple" w:color="C00000" w:sz="4" w:space="0"/>
              <w:bottom w:val="triple" w:color="C00000" w:sz="4" w:space="0"/>
            </w:tcBorders>
          </w:tcPr>
          <w:p>
            <w:pPr>
              <w:pStyle w:val="11"/>
              <w:spacing w:before="213" w:line="240" w:lineRule="auto"/>
              <w:ind w:left="114"/>
              <w:rPr>
                <w:rFonts w:hint="default" w:ascii="Times New Roman" w:hAnsi="Times New Roman" w:eastAsia="宋体" w:cs="Times New Roman"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bjlujiayuan@126.com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" w:hRule="atLeast"/>
        </w:trPr>
        <w:tc>
          <w:tcPr>
            <w:tcW w:w="1697" w:type="dxa"/>
          </w:tcPr>
          <w:p>
            <w:pPr>
              <w:pStyle w:val="11"/>
              <w:spacing w:before="141" w:line="240" w:lineRule="auto"/>
              <w:ind w:left="115"/>
              <w:rPr>
                <w:rFonts w:hint="default" w:ascii="Times New Roman" w:hAnsi="Times New Roman" w:eastAsia="宋体" w:cs="Times New Roman"/>
                <w:b/>
                <w:sz w:val="40"/>
              </w:rPr>
            </w:pPr>
            <w:r>
              <w:rPr>
                <w:rFonts w:hint="default" w:ascii="Times New Roman" w:hAnsi="Times New Roman" w:eastAsia="宋体" w:cs="Times New Roman"/>
                <w:b/>
                <w:sz w:val="40"/>
              </w:rPr>
              <w:t>日期</w:t>
            </w:r>
          </w:p>
        </w:tc>
        <w:tc>
          <w:tcPr>
            <w:tcW w:w="6609" w:type="dxa"/>
            <w:tcBorders>
              <w:top w:val="triple" w:color="C00000" w:sz="4" w:space="0"/>
              <w:bottom w:val="triple" w:color="C00000" w:sz="4" w:space="0"/>
            </w:tcBorders>
          </w:tcPr>
          <w:p>
            <w:pPr>
              <w:pStyle w:val="11"/>
              <w:spacing w:before="141" w:line="240" w:lineRule="auto"/>
              <w:ind w:left="114"/>
              <w:rPr>
                <w:rFonts w:hint="default" w:ascii="Times New Roman" w:hAnsi="Times New Roman" w:eastAsia="宋体" w:cs="Times New Roman"/>
                <w:sz w:val="4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40"/>
                <w:lang w:val="en-US" w:eastAsia="zh-CN"/>
              </w:rPr>
              <w:t>202</w:t>
            </w: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40"/>
                <w:lang w:val="en-US" w:eastAsia="zh-CN"/>
              </w:rPr>
              <w:t>-</w:t>
            </w: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11</w:t>
            </w:r>
            <w:r>
              <w:rPr>
                <w:rFonts w:hint="default" w:ascii="Times New Roman" w:hAnsi="Times New Roman" w:eastAsia="宋体" w:cs="Times New Roman"/>
                <w:sz w:val="40"/>
                <w:lang w:val="en-US" w:eastAsia="zh-CN"/>
              </w:rPr>
              <w:t>-</w:t>
            </w:r>
            <w:r>
              <w:rPr>
                <w:rFonts w:hint="default" w:ascii="Times New Roman" w:hAnsi="Times New Roman" w:eastAsia="宋体" w:cs="Times New Roman"/>
                <w:sz w:val="40"/>
                <w:lang w:eastAsia="zh-CN"/>
              </w:rPr>
              <w:t>6</w:t>
            </w:r>
          </w:p>
        </w:tc>
      </w:tr>
    </w:tbl>
    <w:p>
      <w:pPr>
        <w:spacing w:after="0" w:line="240" w:lineRule="auto"/>
        <w:rPr>
          <w:sz w:val="40"/>
        </w:rPr>
        <w:sectPr>
          <w:headerReference r:id="rId5" w:type="default"/>
          <w:type w:val="continuous"/>
          <w:pgSz w:w="11910" w:h="16840"/>
          <w:pgMar w:top="1320" w:right="1600" w:bottom="280" w:left="1660" w:header="852" w:footer="720" w:gutter="0"/>
          <w:pgNumType w:fmt="decimal"/>
          <w:cols w:space="720" w:num="1"/>
        </w:sectPr>
      </w:pPr>
    </w:p>
    <w:p>
      <w:pPr>
        <w:pStyle w:val="3"/>
        <w:spacing w:line="240" w:lineRule="auto"/>
        <w:rPr>
          <w:rFonts w:ascii="Times New Roman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93"/>
        </w:tabs>
        <w:spacing w:before="154" w:after="0" w:line="240" w:lineRule="auto"/>
        <w:ind w:left="492" w:right="0" w:hanging="353"/>
        <w:jc w:val="left"/>
        <w:rPr>
          <w:rFonts w:ascii="等线"/>
          <w:b/>
          <w:sz w:val="33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实验目的</w:t>
      </w:r>
    </w:p>
    <w:p>
      <w:pPr>
        <w:pStyle w:val="3"/>
        <w:spacing w:line="240" w:lineRule="auto"/>
        <w:ind w:left="140" w:right="195" w:firstLine="559"/>
        <w:rPr>
          <w:rFonts w:hint="default"/>
          <w:sz w:val="24"/>
          <w:szCs w:val="24"/>
        </w:rPr>
      </w:pPr>
      <w:r>
        <w:rPr>
          <w:rFonts w:hint="default"/>
          <w:spacing w:val="-3"/>
          <w:sz w:val="24"/>
          <w:szCs w:val="24"/>
        </w:rPr>
        <w:t>基于Sentence-Bert模型进行文本查重，包括检验sBert模型对文章查重任务的适用性、构建面向查重的数据库，以及对查重应用进行前端设计。</w:t>
      </w:r>
    </w:p>
    <w:p>
      <w:pPr>
        <w:pStyle w:val="2"/>
        <w:numPr>
          <w:ilvl w:val="0"/>
          <w:numId w:val="1"/>
        </w:numPr>
        <w:tabs>
          <w:tab w:val="left" w:pos="493"/>
        </w:tabs>
        <w:spacing w:before="251" w:after="0" w:line="240" w:lineRule="auto"/>
        <w:ind w:left="492" w:right="0" w:hanging="353"/>
        <w:jc w:val="left"/>
        <w:rPr>
          <w:rFonts w:ascii="等线"/>
          <w:b/>
          <w:sz w:val="33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实验环境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OS：Linux操作系统的ubuntu20.04版本 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IDE：VScode,anaconda3(‘base’:conda)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Terminal：gnome-terminal -t $TITLE -x 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Language：python(3.8.8 64-bit)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Tools：PyQt5（前端）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PATH：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前端：</w:t>
      </w:r>
      <w:r>
        <w:rPr>
          <w:rFonts w:hint="default"/>
          <w:sz w:val="24"/>
          <w:szCs w:val="24"/>
        </w:rPr>
        <w:t>/home/lujiayuan/</w:t>
      </w:r>
      <w:r>
        <w:rPr>
          <w:rFonts w:hint="default"/>
          <w:sz w:val="24"/>
          <w:szCs w:val="24"/>
        </w:rPr>
        <w:t>nlp/Big_Homework/</w:t>
      </w:r>
      <w:r>
        <w:rPr>
          <w:rFonts w:hint="default"/>
          <w:sz w:val="24"/>
          <w:szCs w:val="24"/>
        </w:rPr>
        <w:t>NLPLarge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后端：</w:t>
      </w:r>
      <w:r>
        <w:rPr>
          <w:rFonts w:hint="default"/>
          <w:sz w:val="24"/>
          <w:szCs w:val="24"/>
        </w:rPr>
        <w:t>/home/lujiayuan/nlp/Big_Homework/split_sentence_new</w:t>
      </w:r>
      <w:r>
        <w:rPr>
          <w:rFonts w:hint="default"/>
          <w:sz w:val="24"/>
          <w:szCs w:val="24"/>
        </w:rPr>
        <w:t>.py &amp; test1.py &amp; TranslateTool.py &amp; utils.py &amp; evaluate.py &amp; fine_tune.py &amp; buildDatabase.py &amp; config.py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Data:/home/lujiayuan/nlp/Big_Homework/</w:t>
      </w:r>
      <w:r>
        <w:rPr>
          <w:rFonts w:hint="default"/>
          <w:sz w:val="24"/>
          <w:szCs w:val="24"/>
        </w:rPr>
        <w:t>lcqmc &amp; government &amp; govern_pos_neg &amp;数据集1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CUDA版本：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105910" cy="638810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pytorch版本：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105910" cy="807085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sz w:val="24"/>
          <w:szCs w:val="24"/>
        </w:rPr>
      </w:pPr>
      <w:r>
        <w:rPr>
          <w:sz w:val="24"/>
          <w:szCs w:val="24"/>
        </w:rPr>
        <w:t>显卡信息：</w:t>
      </w:r>
      <w:r>
        <w:rPr>
          <w:rFonts w:hint="eastAsia"/>
          <w:sz w:val="24"/>
          <w:szCs w:val="24"/>
        </w:rPr>
        <w:t>Name: GA106M [GeForce RTX 3060 Mobile / Max-Q]</w:t>
      </w:r>
    </w:p>
    <w:p>
      <w:pPr>
        <w:pStyle w:val="3"/>
        <w:spacing w:before="1" w:line="240" w:lineRule="auto"/>
        <w:ind w:left="140" w:right="193" w:firstLine="719" w:firstLineChars="0"/>
        <w:rPr>
          <w:sz w:val="20"/>
        </w:rPr>
      </w:pPr>
      <w:r>
        <w:rPr>
          <w:sz w:val="24"/>
          <w:szCs w:val="24"/>
        </w:rPr>
        <w:drawing>
          <wp:inline distT="0" distB="0" distL="114300" distR="114300">
            <wp:extent cx="3620135" cy="2065020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5" w:line="240" w:lineRule="auto"/>
        <w:rPr>
          <w:sz w:val="4"/>
        </w:rPr>
      </w:pPr>
    </w:p>
    <w:p>
      <w:pPr>
        <w:pStyle w:val="3"/>
        <w:spacing w:line="240" w:lineRule="auto"/>
        <w:ind w:left="103"/>
        <w:rPr>
          <w:sz w:val="2"/>
        </w:rPr>
      </w:pPr>
    </w:p>
    <w:p>
      <w:pPr>
        <w:pStyle w:val="2"/>
        <w:numPr>
          <w:ilvl w:val="0"/>
          <w:numId w:val="1"/>
        </w:numPr>
        <w:tabs>
          <w:tab w:val="left" w:pos="493"/>
        </w:tabs>
        <w:spacing w:before="39" w:after="0" w:line="240" w:lineRule="auto"/>
        <w:ind w:left="492" w:right="0" w:hanging="353"/>
        <w:jc w:val="left"/>
        <w:rPr>
          <w:rFonts w:ascii="等线"/>
          <w:b/>
          <w:sz w:val="33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实验方法</w:t>
      </w:r>
    </w:p>
    <w:p>
      <w:pPr>
        <w:pStyle w:val="3"/>
        <w:numPr>
          <w:ilvl w:val="0"/>
          <w:numId w:val="2"/>
        </w:numPr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数据集准备：</w:t>
      </w:r>
    </w:p>
    <w:p>
      <w:pPr>
        <w:pStyle w:val="3"/>
        <w:numPr>
          <w:numId w:val="0"/>
        </w:numPr>
        <w:spacing w:before="61" w:line="240" w:lineRule="auto"/>
        <w:ind w:left="720" w:leftChars="0" w:right="192" w:rightChars="0" w:firstLine="720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我们准备了两个数据集，lcqmc和政府文件数据集。</w:t>
      </w:r>
    </w:p>
    <w:p>
      <w:pPr>
        <w:pStyle w:val="3"/>
        <w:numPr>
          <w:ilvl w:val="0"/>
          <w:numId w:val="3"/>
        </w:numPr>
        <w:spacing w:before="61" w:line="240" w:lineRule="auto"/>
        <w:ind w:left="1680" w:leftChars="0" w:right="192" w:rightChars="0" w:hanging="420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lcqmc：针对不同领域从百度问答中抽取高频相关问题，训练集大小为240000对</w:t>
      </w:r>
    </w:p>
    <w:p>
      <w:pPr>
        <w:pStyle w:val="3"/>
        <w:numPr>
          <w:numId w:val="0"/>
        </w:numPr>
        <w:spacing w:before="61" w:line="240" w:lineRule="auto"/>
        <w:ind w:left="699" w:leftChars="0" w:right="192" w:rightChars="0" w:firstLine="713" w:firstLineChars="0"/>
        <w:jc w:val="both"/>
      </w:pPr>
      <w:r>
        <w:drawing>
          <wp:inline distT="0" distB="0" distL="114300" distR="114300">
            <wp:extent cx="4135755" cy="700405"/>
            <wp:effectExtent l="0" t="0" r="762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61" w:line="240" w:lineRule="auto"/>
        <w:ind w:left="1680" w:leftChars="0" w:right="192" w:rightChars="0" w:hanging="420" w:firstLineChars="0"/>
        <w:jc w:val="both"/>
        <w:rPr>
          <w:rFonts w:hint="default"/>
          <w:sz w:val="24"/>
          <w:szCs w:val="24"/>
        </w:rPr>
      </w:pPr>
      <w:r>
        <w:rPr>
          <w:sz w:val="24"/>
          <w:szCs w:val="24"/>
        </w:rPr>
        <w:t>政府文件数据集：利用爬虫从新华网上找到</w:t>
      </w:r>
      <w:r>
        <w:rPr>
          <w:rFonts w:hint="default"/>
          <w:sz w:val="24"/>
          <w:szCs w:val="24"/>
        </w:rPr>
        <w:t>16篇政府文件，并进行中文分句，最终得到八千多个句子。</w:t>
      </w:r>
    </w:p>
    <w:p>
      <w:pPr>
        <w:pStyle w:val="3"/>
        <w:numPr>
          <w:ilvl w:val="0"/>
          <w:numId w:val="3"/>
        </w:numPr>
        <w:spacing w:before="61" w:line="240" w:lineRule="auto"/>
        <w:ind w:left="1680" w:leftChars="0" w:right="192" w:rightChars="0" w:hanging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自监督：（我负责构建正样本部分）由于政府文件是从网上爬下来的，分句后得到的数据集没有标定，同时还没有正负样本，因此我们需要用自监督的方式构建正样本，即将中文翻译到某中间语言再翻译回中文。</w:t>
      </w:r>
    </w:p>
    <w:p>
      <w:pPr>
        <w:pStyle w:val="3"/>
        <w:numPr>
          <w:numId w:val="0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1）中间语言选取：利用百度翻译api进行人工中间语言选取。由于翻译软件的中英对译过于成熟，得到的正样本的匹配数据与原数据重复度过高，可能会导致最终模型训练的容错性很低。因此我们需要找到一种二次翻译后的句子和原句子表达意思相同，并且语料重复度不是很高的中间语言。在Sentence-Bert模型支持的15种语言中，我最终选择了阿拉伯语作为中间语言。（土耳其语对语义的改动太大）</w:t>
      </w:r>
    </w:p>
    <w:tbl>
      <w:tblPr>
        <w:tblW w:w="8638" w:type="dxa"/>
        <w:tblCellSpacing w:w="0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03"/>
        <w:gridCol w:w="3306"/>
        <w:gridCol w:w="39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1403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中间语言</w:t>
            </w:r>
          </w:p>
        </w:tc>
        <w:tc>
          <w:tcPr>
            <w:tcW w:w="330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原句</w:t>
            </w:r>
          </w:p>
        </w:tc>
        <w:tc>
          <w:tcPr>
            <w:tcW w:w="392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翻译后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1" w:hRule="atLeast"/>
          <w:tblCellSpacing w:w="0" w:type="dxa"/>
        </w:trPr>
        <w:tc>
          <w:tcPr>
            <w:tcW w:w="1403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土耳其语</w:t>
            </w:r>
          </w:p>
        </w:tc>
        <w:tc>
          <w:tcPr>
            <w:tcW w:w="3306" w:type="dxa"/>
            <w:vMerge w:val="restart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全会认真学习、深刻领会习近平总书记重要讲话。</w:t>
            </w:r>
          </w:p>
        </w:tc>
        <w:tc>
          <w:tcPr>
            <w:tcW w:w="392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我坐在一起，习近平秘书长真的试图谈论并理解这件重要的事情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7" w:hRule="atLeast"/>
          <w:tblCellSpacing w:w="0" w:type="dxa"/>
        </w:trPr>
        <w:tc>
          <w:tcPr>
            <w:tcW w:w="1403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阿拉伯语</w:t>
            </w:r>
          </w:p>
        </w:tc>
        <w:tc>
          <w:tcPr>
            <w:tcW w:w="3306" w:type="dxa"/>
            <w:vMerge w:val="continue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240" w:lineRule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92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全体会议认真研究，深刻理解习近平秘书长的重要讲话。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  <w:tblCellSpacing w:w="0" w:type="dxa"/>
        </w:trPr>
        <w:tc>
          <w:tcPr>
            <w:tcW w:w="1403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英语</w:t>
            </w:r>
          </w:p>
        </w:tc>
        <w:tc>
          <w:tcPr>
            <w:tcW w:w="3306" w:type="dxa"/>
            <w:vMerge w:val="continue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240" w:lineRule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92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全会认真学习和深刻领会了习近平总书记的重要讲话。</w:t>
            </w:r>
          </w:p>
        </w:tc>
      </w:tr>
    </w:tbl>
    <w:p>
      <w:pPr>
        <w:pStyle w:val="3"/>
        <w:numPr>
          <w:ilvl w:val="0"/>
          <w:numId w:val="4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正样本建立：利用</w:t>
      </w:r>
      <w:r>
        <w:rPr>
          <w:rFonts w:hint="default"/>
          <w:sz w:val="24"/>
          <w:szCs w:val="24"/>
        </w:rPr>
        <w:t xml:space="preserve">TranslateTool.py </w:t>
      </w:r>
      <w:r>
        <w:rPr>
          <w:rFonts w:hint="default"/>
          <w:sz w:val="24"/>
          <w:szCs w:val="24"/>
        </w:rPr>
        <w:t>脚本进行文本二次翻译，生成正样本，保存在</w:t>
      </w:r>
      <w:r>
        <w:rPr>
          <w:rFonts w:hint="default"/>
          <w:sz w:val="24"/>
          <w:szCs w:val="24"/>
        </w:rPr>
        <w:t>govern_pos_neg</w:t>
      </w:r>
      <w:r>
        <w:rPr>
          <w:rFonts w:hint="default"/>
          <w:sz w:val="24"/>
          <w:szCs w:val="24"/>
        </w:rPr>
        <w:t>文件夹下的pos.tsv中。</w:t>
      </w:r>
    </w:p>
    <w:p>
      <w:pPr>
        <w:pStyle w:val="3"/>
        <w:numPr>
          <w:ilvl w:val="0"/>
          <w:numId w:val="4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负样本建立：基于原模型，挑选其他句子中相似度最高的句子，我们的做法是将正样本数据集中的匹配方式随机调换得到负样本。</w:t>
      </w:r>
    </w:p>
    <w:p>
      <w:pPr>
        <w:pStyle w:val="3"/>
        <w:numPr>
          <w:ilvl w:val="0"/>
          <w:numId w:val="4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将正负样本融合到一个文件train.tsv中，并标定1和0。</w:t>
      </w:r>
    </w:p>
    <w:p>
      <w:pPr>
        <w:pStyle w:val="3"/>
        <w:numPr>
          <w:ilvl w:val="0"/>
          <w:numId w:val="2"/>
        </w:numPr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模型测试：</w:t>
      </w:r>
    </w:p>
    <w:p>
      <w:pPr>
        <w:pStyle w:val="3"/>
        <w:numPr>
          <w:ilvl w:val="0"/>
          <w:numId w:val="5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我们在大量模型中选取了目前性能较为优越的sBert模型。</w:t>
      </w:r>
    </w:p>
    <w:p>
      <w:pPr>
        <w:pStyle w:val="3"/>
        <w:numPr>
          <w:ilvl w:val="0"/>
          <w:numId w:val="5"/>
        </w:numPr>
        <w:spacing w:before="61" w:line="240" w:lineRule="auto"/>
        <w:ind w:left="699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数据库建立和模型优化：</w:t>
      </w:r>
    </w:p>
    <w:p>
      <w:pPr>
        <w:pStyle w:val="3"/>
        <w:numPr>
          <w:numId w:val="0"/>
        </w:numPr>
        <w:spacing w:before="61" w:line="240" w:lineRule="auto"/>
        <w:ind w:left="1412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由于我们最开始选择的模型multi-qa-MiniLM-L6-dot-v1是问答模型，对于查重的语义相似度的适用性不好，对于lcqmc数据集的正样本表现较好，但是对负样本的区分度不高，因此我们并行研究模型重选取和微调对原模型进行调优。</w:t>
      </w:r>
    </w:p>
    <w:p>
      <w:pPr>
        <w:pStyle w:val="3"/>
        <w:numPr>
          <w:ilvl w:val="0"/>
          <w:numId w:val="6"/>
        </w:numPr>
        <w:spacing w:before="61" w:line="240" w:lineRule="auto"/>
        <w:ind w:left="1412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模型重选取：（我负责的部分）</w:t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在Sentence-Bert官网上，我找到十个左右的已经预训练好的模型，其中有五个以我的网络条件下可以下载并运行：</w:t>
      </w:r>
    </w:p>
    <w:tbl>
      <w:tblPr>
        <w:tblW w:w="7761" w:type="dxa"/>
        <w:tblCellSpacing w:w="0" w:type="dxa"/>
        <w:tblInd w:w="120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1199"/>
        <w:gridCol w:w="1218"/>
        <w:gridCol w:w="10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模型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大小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速度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维度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Paraphrase-albert-small-v2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43M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5000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768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All-MiniLM-L6-v2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80M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14200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384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All-distilroberta-v1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292M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4000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768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distiluse-base-multilingual-cased-v2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482M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4000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512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  <w:tblCellSpacing w:w="0" w:type="dxa"/>
        </w:trPr>
        <w:tc>
          <w:tcPr>
            <w:tcW w:w="4266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distiluse-base-multilingual-cased-v1</w:t>
            </w:r>
          </w:p>
        </w:tc>
        <w:tc>
          <w:tcPr>
            <w:tcW w:w="1199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482M</w:t>
            </w:r>
          </w:p>
        </w:tc>
        <w:tc>
          <w:tcPr>
            <w:tcW w:w="121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4000</w:t>
            </w:r>
          </w:p>
        </w:tc>
        <w:tc>
          <w:tcPr>
            <w:tcW w:w="1078" w:type="dxa"/>
            <w:tcBorders>
              <w:top w:val="single" w:color="FFFFFF" w:sz="2" w:space="0"/>
              <w:left w:val="single" w:color="FFFFFF" w:sz="2" w:space="0"/>
              <w:bottom w:val="single" w:color="FFFFFF" w:sz="8" w:space="0"/>
              <w:right w:val="single" w:color="FFFFFF" w:sz="2" w:space="0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bdr w:val="none" w:color="auto" w:sz="0" w:space="0"/>
              </w:rPr>
              <w:t>512</w:t>
            </w:r>
          </w:p>
        </w:tc>
      </w:tr>
    </w:tbl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将这五个模型分别用于我们的数据集，发现在lcqmc数据集上的测试结果（预测准确率）如下：</w:t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</w:pPr>
      <w:r>
        <w:drawing>
          <wp:inline distT="0" distB="0" distL="114300" distR="114300">
            <wp:extent cx="2327275" cy="1994535"/>
            <wp:effectExtent l="0" t="0" r="6350" b="571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  <w:rPr>
          <w:color w:val="000000"/>
          <w:sz w:val="24"/>
          <w:szCs w:val="24"/>
        </w:rPr>
      </w:pPr>
      <w:r>
        <w:rPr>
          <w:rFonts w:hint="default"/>
          <w:sz w:val="24"/>
          <w:szCs w:val="24"/>
        </w:rPr>
        <w:t>因此我们选用</w:t>
      </w:r>
      <w:r>
        <w:rPr>
          <w:color w:val="000000"/>
          <w:sz w:val="24"/>
          <w:szCs w:val="24"/>
        </w:rPr>
        <w:t>distiluse-base-multilingual-cased-v1</w:t>
      </w:r>
      <w:r>
        <w:rPr>
          <w:color w:val="000000"/>
          <w:sz w:val="24"/>
          <w:szCs w:val="24"/>
        </w:rPr>
        <w:t>模型并进行接下来的微调。</w:t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  <w:rPr>
          <w:rFonts w:hint="default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这里介绍一下</w:t>
      </w:r>
      <w:r>
        <w:rPr>
          <w:color w:val="000000"/>
          <w:sz w:val="24"/>
          <w:szCs w:val="24"/>
        </w:rPr>
        <w:t>distiluse-base-multilingual-cased-v1模型</w:t>
      </w:r>
      <w:r>
        <w:rPr>
          <w:color w:val="000000"/>
          <w:sz w:val="24"/>
          <w:szCs w:val="24"/>
        </w:rPr>
        <w:t>：它是基于</w:t>
      </w:r>
      <w:r>
        <w:rPr>
          <w:rFonts w:hint="eastAsia"/>
          <w:color w:val="000000"/>
          <w:sz w:val="24"/>
          <w:szCs w:val="24"/>
        </w:rPr>
        <w:t>multilingual Universal Sentence Encoder</w:t>
      </w:r>
      <w:r>
        <w:rPr>
          <w:rFonts w:hint="default"/>
          <w:color w:val="000000"/>
          <w:sz w:val="24"/>
          <w:szCs w:val="24"/>
        </w:rPr>
        <w:t>的多语言语义相似度的模型，支持15种语言，比另一个变体</w:t>
      </w:r>
      <w:r>
        <w:rPr>
          <w:color w:val="000000"/>
          <w:sz w:val="24"/>
          <w:szCs w:val="24"/>
        </w:rPr>
        <w:t>distiluse-base-multilingual-cased-v</w:t>
      </w:r>
      <w:r>
        <w:rPr>
          <w:rFonts w:hint="default"/>
          <w:color w:val="000000"/>
          <w:sz w:val="24"/>
          <w:szCs w:val="24"/>
        </w:rPr>
        <w:t>2（支持50种语言）更加性能更好。</w:t>
      </w:r>
    </w:p>
    <w:p>
      <w:pPr>
        <w:pStyle w:val="3"/>
        <w:numPr>
          <w:numId w:val="0"/>
        </w:numPr>
        <w:spacing w:before="61" w:line="240" w:lineRule="auto"/>
        <w:ind w:right="192" w:rightChars="0"/>
        <w:jc w:val="both"/>
      </w:pPr>
      <w:r>
        <w:drawing>
          <wp:inline distT="0" distB="0" distL="114300" distR="114300">
            <wp:extent cx="3191510" cy="2360930"/>
            <wp:effectExtent l="0" t="0" r="8890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9470" cy="2388235"/>
            <wp:effectExtent l="0" t="0" r="508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sz w:val="24"/>
          <w:szCs w:val="24"/>
        </w:rPr>
        <w:t>该模型是基于交互的模型，</w:t>
      </w:r>
      <w:r>
        <w:rPr>
          <w:rFonts w:hint="eastAsia"/>
          <w:sz w:val="24"/>
          <w:szCs w:val="24"/>
        </w:rPr>
        <w:t>使两句词汇交互，基于交互结果计算相似度</w:t>
      </w:r>
      <w:r>
        <w:rPr>
          <w:rFonts w:hint="default"/>
          <w:sz w:val="24"/>
          <w:szCs w:val="24"/>
        </w:rPr>
        <w:t>，其优势是可以捕获句子间关系，精度高。Bert是一种双向编码表示的Transformer模型，而我们使用的sBert即是以句子为单位的Bert模型，针对语义相似度这一任务的表现有了很大程度上的提升，它借助Siamese Network框架，将不同的句子输入到两个参数共享的Bert模型中，也即是同一个Bert模型中，因此将计算复杂度降低到了的数量级，极大程度上解决了原有Bert模型（</w:t>
      </w:r>
      <w:r>
        <w:rPr>
          <w:rFonts w:hint="eastAsia"/>
          <w:bCs/>
          <w:sz w:val="24"/>
        </w:rPr>
        <w:t>将两个待计算的句子同时进入模型，进行信息交互，计算复杂度到达了</w:t>
      </w:r>
      <m:oMath>
        <m:r>
          <m:rPr>
            <m:sty m:val="p"/>
          </m:rPr>
          <w:rPr>
            <w:rFonts w:ascii="Cambria Math" w:hAnsi="Cambria Math"/>
            <w:sz w:val="24"/>
          </w:rPr>
          <m:t>O(</m:t>
        </m:r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n</m:t>
            </m:r>
            <m:ctrlPr>
              <w:rPr>
                <w:rFonts w:ascii="Cambria Math" w:hAnsi="Cambria Math"/>
                <w:bCs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bCs/>
                <w:sz w:val="24"/>
              </w:rPr>
            </m:ctrlPr>
          </m:sup>
        </m:sSup>
        <m:r>
          <m:rPr/>
          <w:rPr>
            <w:rFonts w:ascii="Cambria Math" w:hAnsi="Cambria Math"/>
            <w:sz w:val="24"/>
          </w:rPr>
          <m:t>)</m:t>
        </m:r>
      </m:oMath>
      <w:r>
        <m:rPr/>
        <w:rPr>
          <w:rFonts w:ascii="Times New Roman" w:hAnsi="Cambria Math"/>
          <w:i w:val="0"/>
          <w:sz w:val="24"/>
        </w:rPr>
        <w:t>）</w:t>
      </w:r>
      <w:r>
        <w:rPr>
          <w:rFonts w:hint="default"/>
          <w:sz w:val="24"/>
          <w:szCs w:val="24"/>
        </w:rPr>
        <w:t>高计算量的缺点。</w:t>
      </w:r>
    </w:p>
    <w:p>
      <w:pPr>
        <w:pStyle w:val="3"/>
        <w:numPr>
          <w:ilvl w:val="0"/>
          <w:numId w:val="6"/>
        </w:numPr>
        <w:spacing w:before="61" w:line="240" w:lineRule="auto"/>
        <w:ind w:left="1412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fine_tune：</w:t>
      </w:r>
    </w:p>
    <w:p>
      <w:pPr>
        <w:pStyle w:val="3"/>
        <w:numPr>
          <w:numId w:val="0"/>
        </w:numPr>
        <w:spacing w:before="61" w:line="240" w:lineRule="auto"/>
        <w:ind w:left="1440" w:leftChars="0" w:right="192" w:rightChars="0" w:firstLine="720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找到模型的开源脚本，替换掉网络最后一层的余弦相似度计</w:t>
      </w:r>
      <w:r>
        <w:rPr>
          <w:rFonts w:hint="default"/>
          <w:spacing w:val="-7"/>
          <w:sz w:val="24"/>
          <w:szCs w:val="24"/>
        </w:rPr>
        <w:tab/>
        <w:t>算，换用我们自己写的相似度，基于</w:t>
      </w:r>
      <w:r>
        <w:rPr>
          <w:color w:val="000000"/>
          <w:sz w:val="24"/>
          <w:szCs w:val="24"/>
        </w:rPr>
        <w:t>distiluse-base-</w:t>
      </w:r>
      <w:r>
        <w:rPr>
          <w:rFonts w:hint="default"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multilingual-cased-v1</w:t>
      </w:r>
      <w:r>
        <w:rPr>
          <w:rFonts w:hint="default"/>
          <w:spacing w:val="-7"/>
          <w:sz w:val="24"/>
          <w:szCs w:val="24"/>
        </w:rPr>
        <w:t>重训一个更加适合我们政府数据集的模</w:t>
      </w:r>
      <w:r>
        <w:rPr>
          <w:rFonts w:hint="default"/>
          <w:spacing w:val="-7"/>
          <w:sz w:val="24"/>
          <w:szCs w:val="24"/>
        </w:rPr>
        <w:tab/>
        <w:t>型govenModel1。（微调部分我仅负责在组员微调后，将模型</w:t>
      </w:r>
      <w:r>
        <w:rPr>
          <w:rFonts w:hint="default"/>
          <w:spacing w:val="-7"/>
          <w:sz w:val="24"/>
          <w:szCs w:val="24"/>
        </w:rPr>
        <w:tab/>
        <w:t>进行重训）</w:t>
      </w:r>
    </w:p>
    <w:p>
      <w:pPr>
        <w:pStyle w:val="3"/>
        <w:numPr>
          <w:ilvl w:val="0"/>
          <w:numId w:val="6"/>
        </w:numPr>
        <w:spacing w:before="61" w:line="240" w:lineRule="auto"/>
        <w:ind w:left="1412" w:leftChars="0" w:right="192" w:rightChars="0" w:firstLine="713" w:firstLineChars="0"/>
        <w:jc w:val="both"/>
        <w:rPr>
          <w:rFonts w:hint="default"/>
          <w:spacing w:val="-7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模型性能评估（我负责的部分）：</w:t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/>
        <w:jc w:val="both"/>
        <w:rPr>
          <w:rFonts w:hint="default"/>
          <w:color w:val="000000"/>
          <w:sz w:val="24"/>
          <w:szCs w:val="24"/>
        </w:rPr>
      </w:pPr>
      <w:r>
        <w:rPr>
          <w:rFonts w:hint="default"/>
          <w:spacing w:val="-7"/>
          <w:sz w:val="24"/>
          <w:szCs w:val="24"/>
        </w:rPr>
        <w:t>将上面</w:t>
      </w:r>
      <w:r>
        <w:rPr>
          <w:rFonts w:hint="default"/>
          <w:spacing w:val="-7"/>
          <w:sz w:val="24"/>
          <w:szCs w:val="24"/>
        </w:rPr>
        <w:t>预训练的</w:t>
      </w:r>
      <w:r>
        <w:rPr>
          <w:color w:val="000000"/>
          <w:sz w:val="24"/>
          <w:szCs w:val="24"/>
        </w:rPr>
        <w:t>distiluse-base-multilingual-cased-v1</w:t>
      </w:r>
      <w:r>
        <w:rPr>
          <w:rFonts w:hint="default"/>
          <w:spacing w:val="-7"/>
          <w:sz w:val="24"/>
          <w:szCs w:val="24"/>
        </w:rPr>
        <w:t>模型和我们自己微调后的模型</w:t>
      </w:r>
      <w:r>
        <w:rPr>
          <w:rFonts w:hint="default"/>
          <w:spacing w:val="-7"/>
          <w:sz w:val="24"/>
          <w:szCs w:val="24"/>
        </w:rPr>
        <w:t>govenModel1</w:t>
      </w:r>
      <w:r>
        <w:rPr>
          <w:rFonts w:hint="default"/>
          <w:spacing w:val="-7"/>
          <w:sz w:val="24"/>
          <w:szCs w:val="24"/>
        </w:rPr>
        <w:t>在政府文件数据集上进行训练，并用lcqmc的测试集进行测试（为统一不变量，因为上面五个模型的ROC性能评估是用lcqmc训练集训练，lcqmc测试集进行测试），得到</w:t>
      </w:r>
      <w:r>
        <w:rPr>
          <w:color w:val="000000"/>
          <w:sz w:val="24"/>
          <w:szCs w:val="24"/>
        </w:rPr>
        <w:t>distiluse-base-multilingual-cased-v1</w:t>
      </w:r>
      <w:r>
        <w:rPr>
          <w:color w:val="000000"/>
          <w:sz w:val="24"/>
          <w:szCs w:val="24"/>
        </w:rPr>
        <w:t>微调前后的</w:t>
      </w:r>
      <w:r>
        <w:rPr>
          <w:rFonts w:hint="default"/>
          <w:color w:val="000000"/>
          <w:sz w:val="24"/>
          <w:szCs w:val="24"/>
        </w:rPr>
        <w:t>ROC曲线图和正负样本的测试结果直方图：</w:t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/>
        <w:jc w:val="both"/>
      </w:pPr>
      <w:r>
        <w:drawing>
          <wp:inline distT="0" distB="0" distL="114300" distR="114300">
            <wp:extent cx="3480435" cy="2982595"/>
            <wp:effectExtent l="0" t="0" r="5715" b="825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/>
        <w:jc w:val="both"/>
      </w:pPr>
      <w:r>
        <w:drawing>
          <wp:inline distT="0" distB="0" distL="114300" distR="114300">
            <wp:extent cx="3185160" cy="1857375"/>
            <wp:effectExtent l="0" t="0" r="571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61" w:line="240" w:lineRule="auto"/>
        <w:ind w:left="2125" w:leftChars="0" w:right="192" w:rightChars="0"/>
        <w:jc w:val="both"/>
        <w:rPr>
          <w:rFonts w:hint="default"/>
        </w:rPr>
      </w:pPr>
      <w:r>
        <w:rPr>
          <w:sz w:val="24"/>
          <w:szCs w:val="24"/>
        </w:rPr>
        <w:t>由此可见，我们的微调在政府数据集上发挥了一定的作用，即更加抑制住了负样本的测试结果，同时提升了正样本的整体预测结果。</w:t>
      </w:r>
    </w:p>
    <w:p>
      <w:pPr>
        <w:pStyle w:val="3"/>
        <w:numPr>
          <w:ilvl w:val="0"/>
          <w:numId w:val="2"/>
        </w:numPr>
        <w:spacing w:before="61" w:line="240" w:lineRule="auto"/>
        <w:ind w:left="140" w:right="192" w:firstLine="559"/>
        <w:jc w:val="both"/>
        <w:rPr>
          <w:sz w:val="24"/>
          <w:szCs w:val="24"/>
        </w:rPr>
      </w:pPr>
      <w:r>
        <w:rPr>
          <w:spacing w:val="-7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前端设计：由</w:t>
      </w:r>
      <w:r>
        <w:rPr>
          <w:rFonts w:hint="eastAsia"/>
          <w:spacing w:val="-7"/>
          <w:sz w:val="24"/>
          <w:szCs w:val="24"/>
        </w:rPr>
        <w:t>朱晨曦</w:t>
      </w:r>
      <w:r>
        <w:rPr>
          <w:rFonts w:hint="default"/>
          <w:spacing w:val="-7"/>
          <w:sz w:val="24"/>
          <w:szCs w:val="24"/>
        </w:rPr>
        <w:t>负责整体前端设计，我仅是课上在我的电脑上展示前端如何应用。</w:t>
      </w:r>
    </w:p>
    <w:p>
      <w:pPr>
        <w:pStyle w:val="3"/>
        <w:numPr>
          <w:ilvl w:val="0"/>
          <w:numId w:val="2"/>
        </w:numPr>
        <w:spacing w:before="61" w:line="240" w:lineRule="auto"/>
        <w:ind w:left="140" w:right="192" w:firstLine="559"/>
        <w:jc w:val="both"/>
        <w:rPr>
          <w:sz w:val="24"/>
          <w:szCs w:val="24"/>
        </w:rPr>
      </w:pPr>
      <w:r>
        <w:rPr>
          <w:spacing w:val="-7"/>
          <w:sz w:val="24"/>
          <w:szCs w:val="24"/>
        </w:rPr>
        <w:t>实验代码：见附录。</w:t>
      </w:r>
    </w:p>
    <w:p>
      <w:pPr>
        <w:pStyle w:val="10"/>
        <w:numPr>
          <w:ilvl w:val="0"/>
          <w:numId w:val="1"/>
        </w:numPr>
        <w:tabs>
          <w:tab w:val="left" w:pos="493"/>
        </w:tabs>
        <w:spacing w:before="400" w:after="0" w:line="240" w:lineRule="auto"/>
        <w:ind w:left="492" w:right="0" w:hanging="353"/>
        <w:jc w:val="left"/>
        <w:rPr>
          <w:rFonts w:hint="eastAsia" w:ascii="等线" w:eastAsia="等线"/>
          <w:b/>
          <w:sz w:val="36"/>
          <w:szCs w:val="20"/>
        </w:rPr>
      </w:pPr>
      <w:r>
        <w:rPr>
          <w:rFonts w:hint="eastAsia" w:ascii="黑体" w:hAnsi="黑体" w:eastAsia="黑体" w:cs="黑体"/>
          <w:b/>
          <w:sz w:val="36"/>
          <w:szCs w:val="20"/>
          <w:lang w:val="en-US" w:eastAsia="zh-CN"/>
        </w:rPr>
        <w:t>实验结果</w:t>
      </w:r>
    </w:p>
    <w:p>
      <w:pPr>
        <w:pStyle w:val="3"/>
        <w:spacing w:before="61" w:line="240" w:lineRule="auto"/>
        <w:ind w:right="192" w:firstLine="7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用government/test/1.txt进行测试：</w:t>
      </w:r>
    </w:p>
    <w:p>
      <w:pPr>
        <w:pStyle w:val="3"/>
        <w:spacing w:before="61" w:line="240" w:lineRule="auto"/>
        <w:ind w:left="140" w:right="192" w:firstLine="559"/>
        <w:jc w:val="both"/>
      </w:pPr>
      <w:r>
        <w:drawing>
          <wp:inline distT="0" distB="0" distL="114300" distR="114300">
            <wp:extent cx="3440430" cy="2948940"/>
            <wp:effectExtent l="0" t="0" r="762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1" w:line="240" w:lineRule="auto"/>
        <w:ind w:left="140" w:right="192" w:firstLine="559"/>
        <w:jc w:val="both"/>
      </w:pPr>
      <w:r>
        <w:drawing>
          <wp:inline distT="0" distB="0" distL="114300" distR="114300">
            <wp:extent cx="4153535" cy="2687320"/>
            <wp:effectExtent l="0" t="0" r="889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1" w:line="240" w:lineRule="auto"/>
        <w:ind w:left="140" w:right="192" w:firstLine="559"/>
        <w:jc w:val="both"/>
      </w:pPr>
      <w:r>
        <w:drawing>
          <wp:inline distT="0" distB="0" distL="114300" distR="114300">
            <wp:extent cx="4147185" cy="3392805"/>
            <wp:effectExtent l="0" t="0" r="571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z w:val="24"/>
          <w:szCs w:val="24"/>
        </w:rPr>
      </w:pPr>
      <w:r>
        <w:rPr>
          <w:sz w:val="24"/>
          <w:szCs w:val="24"/>
        </w:rPr>
        <w:t>实验结果分析：在运行</w:t>
      </w:r>
      <w:r>
        <w:rPr>
          <w:rFonts w:hint="default"/>
          <w:sz w:val="24"/>
          <w:szCs w:val="24"/>
        </w:rPr>
        <w:t>main.py后，将出现一个白色对话框，将用户要进行查重的政府文件复制上去，点击左侧边栏，即可出现上面第三张图的界面，可以加入用户想要使用的中央服务器地址，点击开始查重，很快会出现第一张图的界面，标红的句子是和数据集有重复的句子，点击任何一个框，即会出现第二张图的界面，上面显示了每一段的标红句子和我们数据集句子的重复率。由于我们仅在政府文件数据集上进行模型训练，我们的软件目前只适用于政府文件的查重，之后可以将数据集扩展到更大领域，使得我们的模型可以进行更大范围上的文章查重。</w:t>
      </w:r>
    </w:p>
    <w:p>
      <w:pPr>
        <w:pStyle w:val="10"/>
        <w:numPr>
          <w:ilvl w:val="0"/>
          <w:numId w:val="1"/>
        </w:numPr>
        <w:tabs>
          <w:tab w:val="left" w:pos="493"/>
        </w:tabs>
        <w:spacing w:before="400" w:after="0" w:line="240" w:lineRule="auto"/>
        <w:ind w:left="492" w:right="0" w:hanging="353"/>
        <w:jc w:val="left"/>
        <w:rPr>
          <w:rFonts w:ascii="等线"/>
          <w:b/>
          <w:sz w:val="33"/>
        </w:rPr>
      </w:pPr>
      <w:r>
        <w:rPr>
          <w:rFonts w:hint="eastAsia" w:ascii="黑体" w:hAnsi="黑体" w:eastAsia="黑体" w:cs="黑体"/>
          <w:b/>
          <w:sz w:val="36"/>
          <w:szCs w:val="20"/>
          <w:lang w:val="en-US" w:eastAsia="zh-CN"/>
        </w:rPr>
        <w:t>遇到问题及解决思路</w:t>
      </w:r>
      <w:bookmarkStart w:id="0" w:name="_GoBack"/>
      <w:bookmarkEnd w:id="0"/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  <w:lang w:eastAsia="zh-CN"/>
        </w:rPr>
      </w:pPr>
      <w:r>
        <w:rPr>
          <w:rFonts w:hint="default"/>
          <w:spacing w:val="-7"/>
          <w:sz w:val="24"/>
          <w:szCs w:val="24"/>
          <w:lang w:eastAsia="zh-CN"/>
        </w:rPr>
        <w:t>问题1：如何在爬虫后得到正负样本？</w:t>
      </w:r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  <w:lang w:eastAsia="zh-CN"/>
        </w:rPr>
      </w:pPr>
      <w:r>
        <w:rPr>
          <w:rFonts w:hint="default"/>
          <w:spacing w:val="-7"/>
          <w:sz w:val="24"/>
          <w:szCs w:val="24"/>
          <w:lang w:eastAsia="zh-CN"/>
        </w:rPr>
        <w:t>解决思路：以自监督方式，用一个中间语言进行二次翻译得到正样本，将正样本随机匹配得到负样本。</w:t>
      </w:r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  <w:lang w:eastAsia="zh-CN"/>
        </w:rPr>
      </w:pPr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  <w:lang w:eastAsia="zh-CN"/>
        </w:rPr>
      </w:pPr>
      <w:r>
        <w:rPr>
          <w:rFonts w:hint="default"/>
          <w:spacing w:val="-7"/>
          <w:sz w:val="24"/>
          <w:szCs w:val="24"/>
          <w:lang w:eastAsia="zh-CN"/>
        </w:rPr>
        <w:t>问题2：当模型测试准确度较低时应该怎么办？</w:t>
      </w:r>
    </w:p>
    <w:p>
      <w:pPr>
        <w:pStyle w:val="3"/>
        <w:spacing w:before="61" w:line="240" w:lineRule="auto"/>
        <w:ind w:left="140" w:right="192" w:firstLine="559"/>
        <w:jc w:val="both"/>
        <w:rPr>
          <w:rFonts w:hint="default"/>
          <w:spacing w:val="-7"/>
          <w:sz w:val="24"/>
          <w:szCs w:val="24"/>
          <w:lang w:eastAsia="zh-CN"/>
        </w:rPr>
      </w:pPr>
      <w:r>
        <w:rPr>
          <w:rFonts w:hint="default"/>
          <w:spacing w:val="-7"/>
          <w:sz w:val="24"/>
          <w:szCs w:val="24"/>
          <w:lang w:eastAsia="zh-CN"/>
        </w:rPr>
        <w:t>解决思路：换用同一种网络结构的其他的预训练好的模型，并在底层模型上进行微调，来重训一个适用于自己数据集的模型。</w:t>
      </w:r>
    </w:p>
    <w:p>
      <w:pPr>
        <w:pStyle w:val="3"/>
        <w:spacing w:line="240" w:lineRule="auto"/>
        <w:ind w:left="140" w:right="194" w:firstLine="559"/>
        <w:jc w:val="both"/>
      </w:pPr>
    </w:p>
    <w:p>
      <w:pPr>
        <w:pStyle w:val="3"/>
        <w:spacing w:line="240" w:lineRule="auto"/>
        <w:ind w:left="140" w:right="194" w:firstLine="559"/>
        <w:jc w:val="both"/>
      </w:pPr>
    </w:p>
    <w:sectPr>
      <w:headerReference r:id="rId6" w:type="default"/>
      <w:footerReference r:id="rId7" w:type="default"/>
      <w:pgSz w:w="11910" w:h="16840"/>
      <w:pgMar w:top="1260" w:right="1600" w:bottom="1200" w:left="1660" w:header="852" w:footer="1001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pict>
        <v:shape id="_x0000_s4098" o:spid="_x0000_s4098" o:spt="202" type="#_x0000_t202" style="position:absolute;left:0pt;margin-top:780.85pt;height:12.4pt;width:27.2pt;mso-position-horizontal:center;mso-position-horizontal-relative:margin;mso-position-vertical-relative:page;z-index:251659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8" w:lineRule="exact"/>
                  <w:ind w:left="20" w:right="0" w:firstLine="0"/>
                  <w:jc w:val="left"/>
                  <w:rPr>
                    <w:rFonts w:hint="eastAsia" w:ascii="等线" w:eastAsia="等线"/>
                    <w:sz w:val="20"/>
                  </w:rPr>
                </w:pPr>
                <w:r>
                  <w:rPr>
                    <w:rFonts w:hint="eastAsia" w:ascii="等线" w:eastAsia="等线"/>
                    <w:sz w:val="20"/>
                  </w:rPr>
                  <w:t>第</w:t>
                </w:r>
                <w:r>
                  <w:fldChar w:fldCharType="begin"/>
                </w:r>
                <w:r>
                  <w:rPr>
                    <w:rFonts w:hint="eastAsia" w:ascii="等线" w:eastAsia="等线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hint="eastAsia" w:ascii="等线" w:eastAsia="等线"/>
                    <w:sz w:val="20"/>
                  </w:rPr>
                  <w:t>页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0"/>
      </w:pBdr>
      <w:spacing w:line="14" w:lineRule="auto"/>
      <w:rPr>
        <w:sz w:val="20"/>
      </w:rPr>
    </w:pPr>
    <w:r>
      <w:pict>
        <v:shape id="_x0000_s4097" o:spid="_x0000_s4097" o:spt="202" type="#_x0000_t202" style="position:absolute;left:0pt;margin-left:212.3pt;margin-top:27.6pt;height:14.55pt;width:157.7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90" w:lineRule="exact"/>
                  <w:ind w:left="20" w:right="0" w:firstLine="0"/>
                  <w:jc w:val="left"/>
                  <w:rPr>
                    <w:rFonts w:hint="eastAsia" w:ascii="仿宋" w:hAnsi="仿宋" w:eastAsia="仿宋" w:cs="仿宋"/>
                    <w:sz w:val="21"/>
                    <w:szCs w:val="20"/>
                    <w:lang w:val="en-US" w:eastAsia="zh-CN"/>
                  </w:rPr>
                </w:pPr>
                <w:r>
                  <w:rPr>
                    <w:rFonts w:hint="eastAsia" w:asciiTheme="minorEastAsia" w:hAnsiTheme="minorEastAsia" w:eastAsiaTheme="minorEastAsia" w:cstheme="minorEastAsia"/>
                    <w:sz w:val="21"/>
                    <w:szCs w:val="20"/>
                  </w:rPr>
                  <w:t>自然语言处理</w:t>
                </w:r>
                <w:r>
                  <w:rPr>
                    <w:rFonts w:hint="eastAsia" w:asciiTheme="minorEastAsia" w:hAnsiTheme="minorEastAsia" w:eastAsiaTheme="minorEastAsia" w:cstheme="minorEastAsia"/>
                    <w:sz w:val="21"/>
                    <w:szCs w:val="20"/>
                    <w:lang w:val="en-US" w:eastAsia="zh-CN"/>
                  </w:rPr>
                  <w:t>及应用实验报告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BB30B6"/>
    <w:multiLevelType w:val="singleLevel"/>
    <w:tmpl w:val="A6BB30B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776C4CB"/>
    <w:multiLevelType w:val="singleLevel"/>
    <w:tmpl w:val="E776C4CB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EF32AF97"/>
    <w:multiLevelType w:val="singleLevel"/>
    <w:tmpl w:val="EF32AF97"/>
    <w:lvl w:ilvl="0" w:tentative="0">
      <w:start w:val="1"/>
      <w:numFmt w:val="upperLetter"/>
      <w:suff w:val="nothing"/>
      <w:lvlText w:val="%1、"/>
      <w:lvlJc w:val="left"/>
    </w:lvl>
  </w:abstractNum>
  <w:abstractNum w:abstractNumId="3">
    <w:nsid w:val="FFC46FE6"/>
    <w:multiLevelType w:val="singleLevel"/>
    <w:tmpl w:val="FFC46FE6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92" w:hanging="352"/>
        <w:jc w:val="left"/>
      </w:pPr>
      <w:rPr>
        <w:rFonts w:hint="default" w:ascii="等线" w:hAnsi="等线" w:eastAsia="等线" w:cs="等线"/>
        <w:b/>
        <w:bCs/>
        <w:spacing w:val="-1"/>
        <w:w w:val="99"/>
        <w:sz w:val="42"/>
        <w:szCs w:val="42"/>
        <w:lang w:val="zh-CN" w:eastAsia="zh-CN" w:bidi="zh-CN"/>
      </w:rPr>
    </w:lvl>
    <w:lvl w:ilvl="1" w:tentative="0">
      <w:start w:val="1"/>
      <w:numFmt w:val="decimal"/>
      <w:lvlText w:val="%2."/>
      <w:lvlJc w:val="left"/>
      <w:pPr>
        <w:ind w:left="982" w:hanging="283"/>
        <w:jc w:val="left"/>
      </w:pPr>
      <w:rPr>
        <w:rFonts w:hint="default" w:ascii="宋体" w:hAnsi="宋体" w:eastAsia="宋体" w:cs="宋体"/>
        <w:spacing w:val="-2"/>
        <w:w w:val="100"/>
        <w:sz w:val="26"/>
        <w:szCs w:val="26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831" w:hanging="283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683" w:hanging="283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535" w:hanging="283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87" w:hanging="283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39" w:hanging="283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0" w:hanging="283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42" w:hanging="283"/>
      </w:pPr>
      <w:rPr>
        <w:rFonts w:hint="default"/>
        <w:lang w:val="zh-CN" w:eastAsia="zh-CN" w:bidi="zh-CN"/>
      </w:rPr>
    </w:lvl>
  </w:abstractNum>
  <w:abstractNum w:abstractNumId="5">
    <w:nsid w:val="3E89E605"/>
    <w:multiLevelType w:val="singleLevel"/>
    <w:tmpl w:val="3E89E60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F2B32F0"/>
    <w:rsid w:val="0FBD5D2B"/>
    <w:rsid w:val="0FFE6303"/>
    <w:rsid w:val="197F4A9A"/>
    <w:rsid w:val="1EDFA44E"/>
    <w:rsid w:val="2BBD0B2D"/>
    <w:rsid w:val="38EB990F"/>
    <w:rsid w:val="3D33E1EF"/>
    <w:rsid w:val="3DFB63C7"/>
    <w:rsid w:val="3E7B33A1"/>
    <w:rsid w:val="3E7D8493"/>
    <w:rsid w:val="3F3F71A4"/>
    <w:rsid w:val="3F7B0131"/>
    <w:rsid w:val="3FA4247A"/>
    <w:rsid w:val="3FBD4A24"/>
    <w:rsid w:val="3FF98B5C"/>
    <w:rsid w:val="451A62A2"/>
    <w:rsid w:val="47DCF0EC"/>
    <w:rsid w:val="4BDF9359"/>
    <w:rsid w:val="54056315"/>
    <w:rsid w:val="57FF25D5"/>
    <w:rsid w:val="59FEDC6F"/>
    <w:rsid w:val="5CEB6D7B"/>
    <w:rsid w:val="5F7AD1D9"/>
    <w:rsid w:val="5F81CBED"/>
    <w:rsid w:val="653F3AB2"/>
    <w:rsid w:val="677F1351"/>
    <w:rsid w:val="6AC1794C"/>
    <w:rsid w:val="6B9FC697"/>
    <w:rsid w:val="6E6B2160"/>
    <w:rsid w:val="72F8E7F3"/>
    <w:rsid w:val="757FE3E5"/>
    <w:rsid w:val="77DB26DA"/>
    <w:rsid w:val="77FFBB17"/>
    <w:rsid w:val="7AF29020"/>
    <w:rsid w:val="7BDFA0E6"/>
    <w:rsid w:val="7BF7C308"/>
    <w:rsid w:val="7C77B561"/>
    <w:rsid w:val="7CCFC167"/>
    <w:rsid w:val="7D93A7AF"/>
    <w:rsid w:val="7DC493FB"/>
    <w:rsid w:val="7DD3576F"/>
    <w:rsid w:val="7EBFF0EC"/>
    <w:rsid w:val="7EFB4792"/>
    <w:rsid w:val="7F5A6FB3"/>
    <w:rsid w:val="7F6FF7EE"/>
    <w:rsid w:val="7FB972E4"/>
    <w:rsid w:val="7FDBA41C"/>
    <w:rsid w:val="7FDDB009"/>
    <w:rsid w:val="7FFB7B28"/>
    <w:rsid w:val="7FFBCB8C"/>
    <w:rsid w:val="8FDF4204"/>
    <w:rsid w:val="9F77A93F"/>
    <w:rsid w:val="A7CD6847"/>
    <w:rsid w:val="B966288B"/>
    <w:rsid w:val="BEBE404D"/>
    <w:rsid w:val="BEFE4598"/>
    <w:rsid w:val="CF7DD3AE"/>
    <w:rsid w:val="CFFE8FE7"/>
    <w:rsid w:val="D2D69D98"/>
    <w:rsid w:val="D5FA9D85"/>
    <w:rsid w:val="DCF2886E"/>
    <w:rsid w:val="DEB7FFE1"/>
    <w:rsid w:val="DF7748E0"/>
    <w:rsid w:val="DFBF0F98"/>
    <w:rsid w:val="E37F43C4"/>
    <w:rsid w:val="E3FEC80A"/>
    <w:rsid w:val="EFFE023D"/>
    <w:rsid w:val="F3BA7921"/>
    <w:rsid w:val="F4FF4E10"/>
    <w:rsid w:val="F57FEA81"/>
    <w:rsid w:val="F73E762E"/>
    <w:rsid w:val="F7F7F7E9"/>
    <w:rsid w:val="FAF1076E"/>
    <w:rsid w:val="FBFF4338"/>
    <w:rsid w:val="FDFF6361"/>
    <w:rsid w:val="FDFFA664"/>
    <w:rsid w:val="FED4902B"/>
    <w:rsid w:val="FEE77F3C"/>
    <w:rsid w:val="FF7D4EC2"/>
    <w:rsid w:val="FFBF35CC"/>
    <w:rsid w:val="FFE733CA"/>
    <w:rsid w:val="FFFBDAD0"/>
    <w:rsid w:val="FFFFFD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39"/>
      <w:ind w:left="492" w:hanging="353"/>
      <w:outlineLvl w:val="1"/>
    </w:pPr>
    <w:rPr>
      <w:rFonts w:ascii="等线" w:hAnsi="等线" w:eastAsia="等线" w:cs="等线"/>
      <w:b/>
      <w:bCs/>
      <w:sz w:val="44"/>
      <w:szCs w:val="44"/>
      <w:lang w:val="zh-CN" w:eastAsia="zh-CN" w:bidi="zh-CN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8"/>
      <w:szCs w:val="28"/>
      <w:lang w:val="zh-CN" w:eastAsia="zh-CN" w:bidi="zh-CN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492" w:hanging="353"/>
    </w:pPr>
    <w:rPr>
      <w:rFonts w:ascii="宋体" w:hAnsi="宋体" w:eastAsia="宋体" w:cs="宋体"/>
      <w:lang w:val="zh-CN" w:eastAsia="zh-CN" w:bidi="zh-CN"/>
    </w:rPr>
  </w:style>
  <w:style w:type="paragraph" w:customStyle="1" w:styleId="11">
    <w:name w:val="Table Paragraph"/>
    <w:basedOn w:val="1"/>
    <w:qFormat/>
    <w:uiPriority w:val="1"/>
    <w:rPr>
      <w:rFonts w:ascii="楷体" w:hAnsi="楷体" w:eastAsia="楷体" w:cs="楷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2020-10-29T14:00:00Z</dcterms:created>
  <dc:creator>Sheng YUAN</dc:creator>
  <cp:lastModifiedBy>lujiayuan</cp:lastModifiedBy>
  <dcterms:modified xsi:type="dcterms:W3CDTF">2021-11-06T15:45:39Z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  <property fmtid="{D5CDD505-2E9C-101B-9397-08002B2CF9AE}" pid="5" name="KSOProductBuildVer">
    <vt:lpwstr>2052-11.1.0.10702</vt:lpwstr>
  </property>
</Properties>
</file>