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A0CAD">
      <w:pPr>
        <w:pStyle w:val="3"/>
        <w:pageBreakBefore w:val="0"/>
        <w:kinsoku/>
        <w:wordWrap/>
        <w:overflowPunct/>
        <w:topLinePunct w:val="0"/>
        <w:autoSpaceDE/>
        <w:autoSpaceDN/>
        <w:bidi w:val="0"/>
        <w:adjustRightInd/>
        <w:snapToGrid/>
        <w:spacing w:before="0" w:after="0" w:line="360" w:lineRule="auto"/>
        <w:ind w:firstLine="482" w:firstLineChars="200"/>
        <w:jc w:val="center"/>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第一节 案例：针对肿瘤靶点的抗肿瘤小分子药物设计</w:t>
      </w:r>
    </w:p>
    <w:p w14:paraId="694657AC">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highlight w:val="none"/>
          <w:lang w:val="en-US" w:eastAsia="zh-CN"/>
        </w:rPr>
      </w:pPr>
      <w:r>
        <w:rPr>
          <w:rFonts w:hint="default" w:ascii="Times New Roman" w:hAnsi="Times New Roman" w:eastAsia="宋体" w:cs="Times New Roman"/>
          <w:sz w:val="24"/>
          <w:highlight w:val="none"/>
          <w:lang w:val="en-US" w:eastAsia="zh-CN"/>
        </w:rPr>
        <w:t>肺癌是全球范围内发病率和死亡率最高的恶性肿瘤之一，其中非小细胞肺癌占据了主要比例。KRAS基因作为非小细胞肺癌的关键驱动基因，其突变体，尤其是G12D亚型，因缺乏有效的靶向药物而成为临床治疗的难点与科研热点。本章将系统性地展示一个完整的抗肿瘤药物设计流程。该流程始于KRAS G12D的临床背景与靶点特征分析，进而利用AlphaFold2精准预测其三维结构，通过PyMOL对潜在的变构口袋进行深入的空间结构与关键残基分析，最后运用AutoDock Vina对候选小分子库进行虚拟筛选与结合模式评估。本案例旨在为读者提供一个从靶点识别到先导化合物发现的标准化、可复用的计算生物学研究范本。</w:t>
      </w:r>
    </w:p>
    <w:p w14:paraId="1A0ABD18">
      <w:pPr>
        <w:autoSpaceDE w:val="0"/>
        <w:autoSpaceDN w:val="0"/>
        <w:spacing w:line="360" w:lineRule="auto"/>
        <w:ind w:firstLine="482" w:firstLineChars="200"/>
        <w:rPr>
          <w:rFonts w:hint="default" w:ascii="Times New Roman" w:hAnsi="Times New Roman" w:cs="Times New Roman"/>
          <w:b/>
          <w:bCs/>
          <w:sz w:val="24"/>
          <w:lang w:val="en-US" w:eastAsia="zh-CN"/>
        </w:rPr>
      </w:pPr>
      <w:r>
        <w:rPr>
          <w:rFonts w:hint="eastAsia" w:ascii="Times New Roman" w:hAnsi="Times New Roman" w:cs="Times New Roman"/>
          <w:b/>
          <w:bCs/>
          <w:sz w:val="24"/>
          <w:lang w:val="en-US" w:eastAsia="zh-CN"/>
        </w:rPr>
        <w:t>一、</w:t>
      </w:r>
      <w:r>
        <w:rPr>
          <w:rFonts w:hint="default" w:ascii="Times New Roman" w:hAnsi="Times New Roman" w:cs="Times New Roman"/>
          <w:b/>
          <w:bCs/>
          <w:sz w:val="24"/>
          <w:lang w:val="en-US" w:eastAsia="zh-CN"/>
        </w:rPr>
        <w:t>KRAS基因突变在肺癌中的临床意义与靶标选择依据</w:t>
      </w:r>
    </w:p>
    <w:p w14:paraId="0DFD77E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KRAS基因作为人类癌症中最为常见且研究最为深入的致癌基因之一，其生物学功能与致病机制已成为肿瘤分子生物学领域的核心议题。该基因所编码的KRAS蛋白属于RAS超家族中的小GTP酶，在正常的细胞生理活动中扮演着不可或缁的分子开关角色。在静息状态下，KRAS与GDP结合，处于失活构象；而当接收到上游生长因子信号刺激后，鸟苷酸交换因子被激活，促使GDP置换为GTP，进而诱导KRAS发生构象变化，转换为活化状态。活化后的KRAS能够选择性招募并激活下游包括RAF-MEK-ERK信号级联反应、PI3K-AKT-mTOR通路以及RALGDS-RAL效应系统在内的多条关键信号转导途径，从而精密调控细胞的增殖、分化、代谢、存活与迁移等一系列重要生命活动。为了维持细胞内信号传导的精确性与稳态，KRAS自身具备固有的GTP酶活性，能够将结合的GTP水解为GDP，使其恢复到失活状态，完成一次信号转导循环。这</w:t>
      </w:r>
      <w:r>
        <w:rPr>
          <w:rFonts w:hint="eastAsia" w:ascii="Times New Roman" w:hAnsi="Times New Roman" w:eastAsia="宋体" w:cs="Times New Roman"/>
          <w:kern w:val="2"/>
          <w:sz w:val="24"/>
          <w:szCs w:val="24"/>
          <w:highlight w:val="none"/>
          <w:lang w:val="en-US" w:eastAsia="zh-CN" w:bidi="ar-SA"/>
        </w:rPr>
        <w:t>种</w:t>
      </w:r>
      <w:r>
        <w:rPr>
          <w:rFonts w:hint="default" w:ascii="Times New Roman" w:hAnsi="Times New Roman" w:eastAsia="宋体" w:cs="Times New Roman"/>
          <w:kern w:val="2"/>
          <w:sz w:val="24"/>
          <w:szCs w:val="24"/>
          <w:highlight w:val="none"/>
          <w:lang w:val="en-US" w:eastAsia="zh-CN" w:bidi="ar-SA"/>
        </w:rPr>
        <w:t>"激活-失活"动态平衡机制确保了细胞对外界信号的正常响应与自身功能的稳定执行。</w:t>
      </w:r>
    </w:p>
    <w:p w14:paraId="018FB3A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然而，当KRAS基因发生特定位点的获得性突变时，这一精密的调控机制将被彻底打破。绝大多数致癌性KRAS突变发生在第12、13或61位密码子，这些位点直接参与GTP水解过程的协调或执行。其中，第12位甘氨酸被其他氨基酸取代是最为常见的突变类型。这些突变通过空间位阻效应或直接干扰催化残基的构象，严重损害了KRAS固有的GTP水解活性。其结果是突变型KRAS蛋白异常地锁定在持续激活的GTP结合状态，丧失了正常的下调能力。这种组成型激活的KRAS蛋白持续不断地向细胞内增殖信号通路输送激活信号，驱动细胞发生恶性转化和不受控制的增殖，最终导致肿瘤的发生与发展。从分子病理机制上看，KRAS突变</w:t>
      </w:r>
      <w:r>
        <w:rPr>
          <w:rFonts w:hint="eastAsia" w:ascii="Times New Roman" w:hAnsi="Times New Roman" w:eastAsia="宋体" w:cs="Times New Roman"/>
          <w:kern w:val="2"/>
          <w:sz w:val="24"/>
          <w:szCs w:val="24"/>
          <w:highlight w:val="none"/>
          <w:lang w:val="en-US" w:eastAsia="zh-CN" w:bidi="ar-SA"/>
        </w:rPr>
        <w:t>为</w:t>
      </w:r>
      <w:r>
        <w:rPr>
          <w:rFonts w:hint="default" w:ascii="Times New Roman" w:hAnsi="Times New Roman" w:eastAsia="宋体" w:cs="Times New Roman"/>
          <w:kern w:val="2"/>
          <w:sz w:val="24"/>
          <w:szCs w:val="24"/>
          <w:highlight w:val="none"/>
          <w:lang w:val="en-US" w:eastAsia="zh-CN" w:bidi="ar-SA"/>
        </w:rPr>
        <w:t>肿瘤发生发展的</w:t>
      </w:r>
      <w:r>
        <w:rPr>
          <w:rFonts w:hint="eastAsia" w:ascii="Times New Roman" w:hAnsi="Times New Roman" w:eastAsia="宋体" w:cs="Times New Roman"/>
          <w:kern w:val="2"/>
          <w:sz w:val="24"/>
          <w:szCs w:val="24"/>
          <w:highlight w:val="none"/>
          <w:lang w:val="en-US" w:eastAsia="zh-CN" w:bidi="ar-SA"/>
        </w:rPr>
        <w:t>驱动因素</w:t>
      </w:r>
      <w:r>
        <w:rPr>
          <w:rFonts w:hint="default" w:ascii="Times New Roman" w:hAnsi="Times New Roman" w:eastAsia="宋体" w:cs="Times New Roman"/>
          <w:kern w:val="2"/>
          <w:sz w:val="24"/>
          <w:szCs w:val="24"/>
          <w:highlight w:val="none"/>
          <w:lang w:val="en-US" w:eastAsia="zh-CN" w:bidi="ar-SA"/>
        </w:rPr>
        <w:t>。</w:t>
      </w:r>
    </w:p>
    <w:p w14:paraId="2551D40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肺癌的临床病理学背景下，KRAS基因突变的意义尤为突出。肺癌作为全球范围内发病率和死亡率最高的恶性肿瘤，其中非小细胞肺癌约占所有病例的百分之八十五。而在非小细胞肺癌的不同组织学亚型中，KRAS突变频率呈现出显著的异质性。大量的流行病学与临床研究数据表明，在肺腺癌这一非小细胞肺癌最主要的亚型中，KRAS突变的发生率高达百分之二十五至百分之三十五，使其成为该亚型中最常见的驱动基因突变之一。相比之下，在肺鳞状细胞癌中，KRAS突变则相对罕见，突变率通常低于百分之五。此外，KRAS突变与吸烟史之间存在极强的正相关性，在长期吸烟的肺癌患者群体中，KRAS的突变频率显著高于非吸烟者，这提示烟草中的致癌物质可能特异性诱导此类突变的发生。从性别分布特征来看，男性患者的KRAS突变率也略高于女性患者，这可能与吸烟习惯的性别差异以及其他尚未完全阐明的生物学因素有关。这些独特的临床病理学特征使得KRAS成为肺癌靶向治疗领域一个极具研究价值与临床意义的分子靶标。</w:t>
      </w:r>
    </w:p>
    <w:p w14:paraId="6D79E41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从分子亚型的角度深入分析，KRAS的致癌突变并非随机分布，而是高度集中在几个特定的热点密码子上。综合全球多个大型癌症基因组数据库的统计结果，第12位氨基酸的突变占据了所有KRAS突变的百分之七十到八十，是绝对优势的高频突变热点。在第12位密码子的多种替代突变类型中，G12C、G12D和G12V构成了三种最主要的突变亚型，合计约占所有KRAS突变的百分之六十以上。这些不同的突变亚型在临床特征和生物学行为上也存在一定差异。其中，G12C突变在吸烟人群中所占比例最高，约占所有KRAS突变的百分之十到十五，其与烟草暴露的关联性最为明确。紧随其后的G12D突变，约占所有KRAS突变的百分之八到十，在非吸烟患者中相对更为常见。G12V突变则占百分之五到八，其临床病理特征介于G12C和G12D之间。</w:t>
      </w:r>
    </w:p>
    <w:p w14:paraId="567AE3E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尽管KRAS作为一个重要的致癌靶点已被认识长达数十年，但其靶向药物的研发历程却充满挑战与挫折，一度被认为是"不可成药"的靶标。这一困境主要源于KRAS蛋白独特的结构生物学特征：其GTP/GDP结合位点是一个表面光滑、亲和力极高的口袋，GTP与之结合的亲和力达到皮摩尔级别，使得开发竞争性小分子抑制剂极为困难；同时，KRAS蛋白表面缺乏明显的、适合小分子结合的口袋，传统药物设计策略难以应用。这种局面直到近年来变构调节策略的出现才被打破。2013年，研究人员首次发现KRAS G12C突变体在半胱氨酸残基附近存在一个可被小分子结合的变构口袋，这一突破性发现引领了KRAS靶向治疗的新时代。基于此，针对KRAS G12C突变体的共价变构抑制剂如索托拉西布和阿达格拉西布相继研发成功，并通过临床试验证实了其卓越的疗效，现已获美国FDA批准用于治疗携带KRAS G12C突变的晚期非小细胞肺癌患者。这些药物的问世标志着KRAS靶向治疗从概念走向现实的重大突破，为G12C突变患者带来了新的希望。</w:t>
      </w:r>
    </w:p>
    <w:p w14:paraId="3997271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然而，靶向KRAS</w:t>
      </w:r>
      <w:r>
        <w:rPr>
          <w:rFonts w:hint="eastAsia" w:ascii="Times New Roman" w:hAnsi="Times New Roman" w:eastAsia="宋体" w:cs="Times New Roman"/>
          <w:kern w:val="2"/>
          <w:sz w:val="24"/>
          <w:szCs w:val="24"/>
          <w:highlight w:val="none"/>
          <w:lang w:val="en-US" w:eastAsia="zh-CN" w:bidi="ar-SA"/>
        </w:rPr>
        <w:t>的药物</w:t>
      </w:r>
      <w:r>
        <w:rPr>
          <w:rFonts w:hint="default" w:ascii="Times New Roman" w:hAnsi="Times New Roman" w:eastAsia="宋体" w:cs="Times New Roman"/>
          <w:kern w:val="2"/>
          <w:sz w:val="24"/>
          <w:szCs w:val="24"/>
          <w:highlight w:val="none"/>
          <w:lang w:val="en-US" w:eastAsia="zh-CN" w:bidi="ar-SA"/>
        </w:rPr>
        <w:t>治疗仍面临着严峻的挑战和未满足的医疗需求。虽然G12C抑制剂取得了成功，但这一策略具有明显的局限性：它仅对携带G12C突变的患者有效，而G12D和G12V等其他常见突变亚型由于缺乏可供共价结合的半胱氨酸残基，无法从现有的G12C靶向药物中获益。这使得携带KRAS G12D突变的庞大患者群体——每年全球新增患者数量估计超过十万人——仍然处于靶向治疗的"盲区"。这些患者目前依然完全依赖于传统的化疗和免疫治疗，然而这些治疗方式的疗效有限且毒副作用显著。特别是对于KRAS G12D突变患者，现有研究表明其对免疫检查点抑制剂的反应可能不如G12C突变患者，这进一步限制了治疗选择。从临床预后角度看，KRAS G12D突变患者的总生存期通常短于其他突变亚型，这一严峻现实凸显了针对该特定突变群体开发特异性靶向药物的紧迫性和必要性。因此，KRAS G12D靶向药物的研发已成为当前肿瘤精准医疗领域最为迫切的任务之一，构成了一个极具挑战性的"未竟医疗需求"。</w:t>
      </w:r>
    </w:p>
    <w:p w14:paraId="5CC67AF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鉴于KRAS G12D巨大的临床价值与迫切的研发需求，我们将其选定为本案例研究的核心靶标。这一选择基于多重考量：首先，从公共卫生角度，G12D是肺癌中第二高发的KRAS突变亚型，覆盖的患者群体庞大，成功开发靶向药物将产生重大的临床影响；其次，从科学可行性角度，近年来的结构生物学研究进展表明，KRAS G12D并非绝对"不可成药"的靶点。深入的结构分析揭示，其蛋白表面存在一个由开关II区构象变化诱导形成的变构口袋。这个口袋在空间位置上区别于传统的GTP竞争性结合位点，后者因GTP具有极高的结合亲和力而难以被小分子药物有效竞争。变构口袋则为小分子抑制剂的设计提供了一个全新的、更具可行性的作用位点。通过设计与该变构口袋结合的小分子配体，稳定KRAS的特定非活性构象，可以有效变构调节其功能，抑制KRAS的活化及其与下游效应蛋白的相互作用，从而阻断致癌信号的传导。这种变构调控策略避免了对GTP结合口袋的直接竞争，绕过了传统药物设计的瓶颈，为代表性地针对KRAS G12D的小分子抑制剂开发提供了理论依据和技术路径。因此，针对KRAS G12D变构口袋的小分子抑制剂开发，已成为当前抗癌药物研究的前沿阵地和热门方向。</w:t>
      </w:r>
    </w:p>
    <w:p w14:paraId="40A8A13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除了科学合理性和临床必要性外，选择KRAS G12D作为研究模型还具有重要的方法论意义。本案例不仅旨在直接应对G12D自身严峻的临床挑战，更期望通过建立一套完整、严谨的计算辅助药物设计流程，展示如何利用现代计算生物学和结构生物学工具攻克"难成药"靶点。这一流程从靶点选择与验证开始，涵盖基于AI的结构预测、精细的变构口袋分析、合理的药物设计以及系统的虚拟筛选，形成一个完整的闭环研究体系。这种系统化的研究方法论不仅适用于KRAS G12D，同样可以推广至其他KRAS突变亚型（如G12V、G13D等）乃至更多传统上被认为是"不可成药"的靶点，如转录因子、支架蛋白等。因此，本案例研究超越了单一靶点本身，旨在提供一个可借鉴、可复用的技术框架与研究范式，为推动整个靶向治疗领域的发展贡献方法论价值。</w:t>
      </w:r>
    </w:p>
    <w:p w14:paraId="029F36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综上所述，KRAS G12D作为一个在肺癌中高频率发生、临床预后较差、且目前缺乏有效靶向治疗选择的重要致癌驱动突变，其靶向药物研发既具有极其迫切的临床必要性，也具备相当的科学可行性。通过采用创新的变构调节策略和系统的计算辅助药物设计方法，攻克这一"难成药"靶点不仅有望为庞大的患者群体带来新的治疗希望，也将为整个肿瘤靶向治疗领域提供宝贵的技术积累和经验参考。本案例研究正是在这一宏伟背景下的积极探索和尝试。</w:t>
      </w:r>
    </w:p>
    <w:p w14:paraId="58D8DF04">
      <w:pPr>
        <w:autoSpaceDE w:val="0"/>
        <w:autoSpaceDN w:val="0"/>
        <w:spacing w:line="360" w:lineRule="auto"/>
        <w:ind w:firstLine="482" w:firstLineChars="200"/>
        <w:rPr>
          <w:rFonts w:hint="default" w:ascii="Times New Roman" w:hAnsi="Times New Roman" w:cs="Times New Roman"/>
          <w:b/>
          <w:bCs/>
          <w:sz w:val="24"/>
          <w:lang w:val="en-US" w:eastAsia="zh-CN"/>
        </w:rPr>
      </w:pPr>
      <w:r>
        <w:rPr>
          <w:rFonts w:hint="default" w:ascii="Times New Roman" w:hAnsi="Times New Roman" w:cs="Times New Roman"/>
          <w:b/>
          <w:bCs/>
          <w:sz w:val="24"/>
          <w:lang w:val="en-US" w:eastAsia="zh-CN"/>
        </w:rPr>
        <w:t>二</w:t>
      </w:r>
      <w:r>
        <w:rPr>
          <w:rFonts w:hint="eastAsia" w:ascii="Times New Roman" w:hAnsi="Times New Roman" w:cs="Times New Roman"/>
          <w:b/>
          <w:bCs/>
          <w:sz w:val="24"/>
          <w:lang w:val="en-US" w:eastAsia="zh-CN"/>
        </w:rPr>
        <w:t>、</w:t>
      </w:r>
      <w:r>
        <w:rPr>
          <w:rFonts w:hint="default" w:ascii="Times New Roman" w:hAnsi="Times New Roman" w:cs="Times New Roman"/>
          <w:b/>
          <w:bCs/>
          <w:sz w:val="24"/>
          <w:lang w:val="en-US" w:eastAsia="zh-CN"/>
        </w:rPr>
        <w:t>基于AlphaFold2的KRAS G12D突变体三维结构预测</w:t>
      </w:r>
    </w:p>
    <w:p w14:paraId="58DAA0B9">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在针对特定蛋白质靶点的合理化药物设计工作中，获得高精度、可靠的三维结构是至关重要的第一步。蛋白质的三维结构决定了其生物学功能、与其他分子的相互作用模式，以及潜在的治疗干预位点。对于KRAS G12D这样的点突变体，虽然野生型KRAS的晶体结构在蛋白质结构数据库中已有大量积累，但这些静态结构往往难以全面捕捉突变体特有的构象动态，尤其是其处于特定活化状态或与变构调节剂结合时的口袋微环境。实验方法如X射线晶体学或冷冻电镜虽然能提供高分辨率的结构信息，但其过程耗时费力，且对于某些难以纯化或结晶的蛋白变体存在技术瓶颈。因此，当实验结构暂时缺失或难以获得时，利用先进的计算生物学方法进行高精度结构预测，就成为了一条不可或缺且极具价值的替代路径。</w:t>
      </w:r>
    </w:p>
    <w:p w14:paraId="2401C70C">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AlphaFold2，由DeepMind公司于2020年开发并公布，是当前蛋白质结构预测领域当之无愧的黄金标准和革命性工具。它颠覆了传统的蛋白质结构预测范式，其准确性</w:t>
      </w:r>
      <w:r>
        <w:rPr>
          <w:rFonts w:hint="eastAsia" w:ascii="Times New Roman" w:hAnsi="Times New Roman" w:eastAsia="宋体" w:cs="Times New Roman"/>
          <w:kern w:val="2"/>
          <w:sz w:val="24"/>
          <w:szCs w:val="24"/>
          <w:highlight w:val="none"/>
          <w:lang w:val="en-US" w:eastAsia="zh-CN" w:bidi="ar-SA"/>
        </w:rPr>
        <w:t>优于</w:t>
      </w:r>
      <w:r>
        <w:rPr>
          <w:rFonts w:hint="default" w:ascii="Times New Roman" w:hAnsi="Times New Roman" w:eastAsia="宋体" w:cs="Times New Roman"/>
          <w:kern w:val="2"/>
          <w:sz w:val="24"/>
          <w:szCs w:val="24"/>
          <w:highlight w:val="none"/>
          <w:lang w:val="en-US" w:eastAsia="zh-CN" w:bidi="ar-SA"/>
        </w:rPr>
        <w:t>实验方法。该系统的核心创新在于其深度融合了注意力机制的多序列比对分析、复杂的残基对表示和基于物理的几何约束，构建了一个端到端的深度学习框架。它能够仅输入目标的氨基酸序列，通过分析同源序列的共进化信息以及序列-结构之间的复杂映射关系，以前所未有的准确度生成近原子分辨率的三维原子坐标模型。AlphaFold2的出现，极大地加速了结构生物学的研究进程，也为针对新兴靶点或罕见突变体的药物设计提供了强大的结构基础。</w:t>
      </w:r>
    </w:p>
    <w:p w14:paraId="02F0E473">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（一）</w:t>
      </w:r>
      <w:r>
        <w:rPr>
          <w:rFonts w:hint="default" w:ascii="Times New Roman" w:hAnsi="Times New Roman"/>
          <w:b/>
          <w:sz w:val="24"/>
          <w:szCs w:val="24"/>
          <w:lang w:val="en-US" w:eastAsia="zh-CN"/>
        </w:rPr>
        <w:t>KRAS G12D突变体氨基酸序列的准备</w:t>
      </w:r>
    </w:p>
    <w:p w14:paraId="69081755">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任何计算预测的起点都源于准确、规范的输入数据。在蛋白质结构预测中，输入数据即是目标蛋白的氨基酸一级序列。我们首先从国际权威的蛋白质序列与功能信息数据库UniProt中，获取了人源KRAS蛋白的全长规范序列。该序列的UniProt accession ID为P01116。根据数据库记录，该异构体由189个氨基酸残基连续组成，其基因位于染色体12p12.1位置。</w:t>
      </w:r>
    </w:p>
    <w:p w14:paraId="418ADA6F">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为了进行高效且聚焦的药物设计，对全长蛋白进行功能域分析是必不可少的一步。通过查阅相关文献及InterPro、Pfam等结构域数据库，我们明确了KRAS蛋白的功能核心是其GTP结合结构域/G蛋白域。该结构域涵盖了序列第1至第166位氨基酸，负责执行鸟苷酸（GTP/GDP）的结合、水解以及分子构象切换等核心生化功能。在这个区域内，分布着多个对功能至关重要的特征模体，例如P-loop（第10-17位，负责稳定磷酸基团）、开关I区（第30-38位，效应蛋白结合界面）、开关II区（第55-76位，构象变化敏感区及变构口袋所在）等。这些区域不仅是KRAS行使正常生理功能的结构基础，也是绝大多数小分子激动剂或抑制剂（包括变构抑制剂）的设计靶点。相比之下，序列C末端的第167至189位区域，主要包含一个高度可变的铰链区和CAAX基序（Cys-AAX，其中A是脂肪族氨基酸，X是任意氨基酸），其核心功能是介导蛋白质的膜定位。该区域在天然状态下呈现高度的结构柔性，在计算预测中其局部置信度通常较低。更重要的是，该区域不直接参与胞质中KRAS的信号传导核心事件以及核心口袋的形成。因此，在结构预测中保留此区域可能会引入不必要的结构噪声，增加计算复杂度，且对后续的药物结合口袋分析贡献有限。</w:t>
      </w:r>
    </w:p>
    <w:p w14:paraId="54BCB167">
      <w:pPr>
        <w:pStyle w:val="2"/>
        <w:tabs>
          <w:tab w:val="left" w:pos="360"/>
        </w:tabs>
        <w:ind w:firstLine="480" w:firstLineChars="200"/>
        <w:jc w:val="left"/>
        <w:rPr>
          <w:rFonts w:hint="eastAsia" w:ascii="Times New Roman" w:hAnsi="Times New Roman"/>
          <w:b/>
          <w:sz w:val="24"/>
          <w:szCs w:val="24"/>
          <w:lang w:val="en-US" w:eastAsia="zh-CN"/>
        </w:rPr>
      </w:pPr>
      <w:r>
        <w:rPr>
          <w:rFonts w:hint="eastAsia" w:ascii="Times New Roman" w:hAnsi="Times New Roman" w:eastAsia="宋体" w:cs="Times New Roman"/>
          <w:bCs w:val="0"/>
          <w:kern w:val="2"/>
          <w:sz w:val="24"/>
          <w:szCs w:val="24"/>
          <w:highlight w:val="none"/>
          <w:lang w:val="en-US" w:eastAsia="zh-CN" w:bidi="ar-SA"/>
        </w:rPr>
        <w:t>基于以上分析，我们决定在构建G12D突变体时，仅保留第1至166位的GTP结合结构域。这一策略旨在提高计算效率，并集中计算资源以提升核心功能区的结构预测精度。具体的序列构建过程遵循以下标准化流程。首先，从UniProt数据库直接下载KRAS野生型（isoform 2B）的FASTA格式序列。随后，我们使用专业的序列编辑软件（如BioEdit、SnapGene等），通过定点突变技术，将原始序列中第12位密码子“GGT”（编码甘氨酸，Gly，G）精准地替换为“GAT”（编码天冬氨酸，Asp，D），以此在序列水平上模拟G12D致癌性点突变。最终，我们得到了用于后续AlphaFold2预测的、经过截短和突变处理的KRAS G12D突变体（1-166氨基酸）的最终FASTA序列。该序列具体为：</w:t>
      </w:r>
      <w:r>
        <w:rPr>
          <w:rFonts w:hint="eastAsia" w:ascii="Times New Roman" w:hAnsi="Times New Roman" w:eastAsia="宋体" w:cs="Times New Roman"/>
          <w:bCs w:val="0"/>
          <w:kern w:val="2"/>
          <w:sz w:val="24"/>
          <w:szCs w:val="24"/>
          <w:highlight w:val="none"/>
          <w:lang w:val="en-US" w:eastAsia="zh-CN" w:bidi="ar-SA"/>
        </w:rPr>
        <w:br w:type="textWrapping"/>
      </w:r>
      <w:r>
        <w:rPr>
          <w:rFonts w:hint="eastAsia" w:ascii="Times New Roman" w:hAnsi="Times New Roman" w:eastAsia="宋体" w:cs="Times New Roman"/>
          <w:bCs w:val="0"/>
          <w:kern w:val="2"/>
          <w:sz w:val="24"/>
          <w:szCs w:val="24"/>
          <w:highlight w:val="none"/>
          <w:lang w:val="en-US" w:eastAsia="zh-CN" w:bidi="ar-SA"/>
        </w:rPr>
        <w:t>MTEYKLVVVGADGVGKSALTIQLIQNHFVDEYDPTIEDSYRKQVVIDGETCLLDILDTAGQEEYSAMRDQYMRTGEGFLCVFAINNTKSFEDIHHYREQIKRVKDSEDVPMVLVGNKCDLPSRTVDTKQAQDLARSYGIPFIETSAKTRQRVEDAFYTLVREIRQY。</w:t>
      </w:r>
      <w:r>
        <w:rPr>
          <w:rFonts w:hint="eastAsia" w:ascii="Times New Roman" w:hAnsi="Times New Roman" w:eastAsia="宋体" w:cs="Times New Roman"/>
          <w:bCs w:val="0"/>
          <w:kern w:val="2"/>
          <w:sz w:val="24"/>
          <w:szCs w:val="24"/>
          <w:highlight w:val="none"/>
          <w:lang w:val="en-US" w:eastAsia="zh-CN" w:bidi="ar-SA"/>
        </w:rPr>
        <w:br w:type="textWrapping"/>
      </w:r>
      <w:r>
        <w:rPr>
          <w:rFonts w:hint="eastAsia" w:ascii="Times New Roman" w:hAnsi="Times New Roman" w:eastAsia="宋体" w:cs="Times New Roman"/>
          <w:bCs w:val="0"/>
          <w:kern w:val="2"/>
          <w:sz w:val="24"/>
          <w:szCs w:val="24"/>
          <w:highlight w:val="none"/>
          <w:lang w:val="en-US" w:eastAsia="zh-CN" w:bidi="ar-SA"/>
        </w:rPr>
        <w:t>此序列文件将作为整个预测流程的唯一输入。</w:t>
      </w:r>
    </w:p>
    <w:p w14:paraId="3067F3F2">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（二）</w:t>
      </w:r>
      <w:r>
        <w:rPr>
          <w:rFonts w:hint="default" w:ascii="Times New Roman" w:hAnsi="Times New Roman"/>
          <w:b/>
          <w:sz w:val="24"/>
          <w:szCs w:val="24"/>
          <w:lang w:val="en-US" w:eastAsia="zh-CN"/>
        </w:rPr>
        <w:t>利用ColabFold平台运行AlphaFold2进行结构预测</w:t>
      </w:r>
    </w:p>
    <w:p w14:paraId="795B01CC">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尽管AlphaFold2算法强大，但其本地部署通常需要高性能的计算集群（尤其是强大的GPU和大量的内存），这对于许多学术实验室或个人研究者而言存在较高的硬件门槛。幸运的是，为了促进该技术的普惠应用，开源社区及时开发了ColabFold。它是一个优化的开源工具包，完美集成了AlphaFold2（以及相关的RoseTTAFold）的核心推理算法，并巧妙地依托于Google Colab这一提供免费临时GPU计算资源的云端平台。这使得全球的研究者无需任何本地硬件投入，仅通过网页浏览器就能便捷地提交任务，完成复杂的蛋白质结构预测，极大地降低了该前沿技术的使用门槛。</w:t>
      </w:r>
    </w:p>
    <w:p w14:paraId="6603DBE7">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我们的预测步骤严格遵循了ColabFold提供的标准操作流程，并针对KRAS G12D的特性进行了适当的参数考量。首先，我们通过权威渠道访问了ColabFold的官方Google Colab笔记本页面。在启动计算之前，我们在Colab的运行时菜单中明确选择了“T4 GPU”或“V100 GPU”作为硬件加速器，这是因为AlphaFold2的神经网络推理涉及巨量的矩阵运算，严重依赖GPU的并行计算能力来将预测时间从数天缩短至数小时。接着，在笔记本标记清晰的输入单元格中，我们将上一环节准备好的KRAS G12D突变体FASTA序列完整粘贴到指定的“sequence”输入框内。</w:t>
      </w:r>
    </w:p>
    <w:p w14:paraId="6EFEE681">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对于其他关键运行参数，我们综合考量了预测精度与计算成本后，采用了经过广泛验证的默认设置。我们选用的主要预测模型是alphafold2_ptm，该模型不仅能够预测蛋白质单体的三维结构，还能输出每个位置的预测置信度分数（pLDDT）和一个预测的模板建模得分（pTM），后者对于评估蛋白复合物的界面有一定参考意义。我们将迭代回收次数设置为3次，这一参数允许Evoformer模块对初始预测的结构进行多轮迭代优化，通常在3次回收后收益达到饱和，平衡了效果与时间。我们明确将模板使用模式关闭，即use_templates=False。这是因为我们希望模型进行纯粹的、不受已知实验结构偏见的从头预测，这对于捕捉G12D突变可能引起的细微构象变化尤为重要，尽管启用模板有时能提高速度，但我们优先追求预测的原生性。此外，我们启用了多序列比对（MSI）的再循环使用选项，以加速后续可能的重复运行。所有参数通过下拉菜单或复选框清晰设定后，我们执行了对应的代码单元格。整个预测过程在Google Colab的GPU环境下平稳运行，从提交任务到生成最终结果，大约持续了30至60分钟，期间系统自动完成了MSI搜索、结构推理、模型排序及结果可视化等一系列复杂步骤。</w:t>
      </w:r>
    </w:p>
    <w:p w14:paraId="4D36B517">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（三）</w:t>
      </w:r>
      <w:r>
        <w:rPr>
          <w:rFonts w:hint="default" w:ascii="Times New Roman" w:hAnsi="Times New Roman"/>
          <w:b/>
          <w:sz w:val="24"/>
          <w:szCs w:val="24"/>
          <w:lang w:val="en-US" w:eastAsia="zh-CN"/>
        </w:rPr>
        <w:t>预测结果的输出、验证与下载</w:t>
      </w:r>
    </w:p>
    <w:p w14:paraId="0097DE2E">
      <w:pPr>
        <w:autoSpaceDE w:val="0"/>
        <w:autoSpaceDN w:val="0"/>
        <w:spacing w:line="360" w:lineRule="auto"/>
        <w:ind w:firstLine="480" w:firstLineChars="200"/>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ColabFold运行完成后，会自动在笔记本界面生成一系列结构化和可视化的结果文件，便于用户进行全面分析。其中最核心的输出是五个独立预测的蛋白质全原子三维结构模型。这些模型是算法基于不同的随机种子或略微不同的初始条件生成的，代表了构象空间中的一些合理采样。系统会依据其预测的全局置信度分数（通常是pLDDT得分的平均值）从高到低进行自动排序，并分别保存为ranked_1.pdb至ranked_5.pdb文件。其中ranked_1.pdb被认为是本次预测中“最佳”的模型。</w:t>
      </w:r>
    </w:p>
    <w:p w14:paraId="59BB72B0">
      <w:pPr>
        <w:autoSpaceDE w:val="0"/>
        <w:autoSpaceDN w:val="0"/>
        <w:spacing w:line="360" w:lineRule="auto"/>
        <w:ind w:firstLine="480" w:firstLineChars="200"/>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除了结构模型文件，系统还会生成一个至关重要的质量评估图表——pLDDT评分图。pLDDT，全称为预测的局部距离差异测试，是一种为每个氨基酸残基位置分配一个介于0到100之间置信度分数的指标。它衡量的是该位置局部结构环境的预测可靠性。其分值的解读具有明确的指导意义。通常认为，pLDDT大于90表示该位置的预测结构非常可靠，可信度极高。分数在70至90之间表示预测可信度良好，模型在该区域通常是正确的。分数在50至70之间则表示预测不确定性较高，该区域可能是柔性的或预测可信度一般。而低于50的分数则意味着预测结果的高度不确定性，这些区域通常对应于天然无序区域或非常规结构，其坐标信息参考价值有限。</w:t>
      </w:r>
    </w:p>
    <w:p w14:paraId="0222DD15">
      <w:pPr>
        <w:autoSpaceDE w:val="0"/>
        <w:autoSpaceDN w:val="0"/>
        <w:spacing w:line="360" w:lineRule="auto"/>
        <w:ind w:firstLine="480" w:firstLineChars="200"/>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我们对KRAS G12D预测结果生成的pLDDT评分图进行了细致的分析。图表清晰地显示，对于我们所关注的1-166核心结构域，绝大部分区域的pLDDT分数都稳健地达到了80以上。特别令人鼓舞的是，在开关I区、开关II区、P-loop以及整个GTP结合口袋周围这些后续药物设计所关注的关键功能区，pLDDT评分普遍高于85，甚至在许多核心残基上超过90。这充分表明，AlphaFold2对我们所构建的KRAS G12D突变体核心域的结构预测质量上乘，模型在关键区域的原子坐标具有很高的可信度，完全可以作为后续分子对接、分子动力学模拟和结合口袋分析的高质量起点。</w:t>
      </w:r>
    </w:p>
    <w:p w14:paraId="1503DA5A">
      <w:pPr>
        <w:autoSpaceDE w:val="0"/>
        <w:autoSpaceDN w:val="0"/>
        <w:spacing w:line="360" w:lineRule="auto"/>
        <w:ind w:firstLine="480" w:firstLineChars="200"/>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我们进一步利用ColabFold内置的3D可视化工具，对排名第一的ranked_1.pdb模型进行了初步的三维观察。模型整体呈现出小G蛋白典型的球状结构特征，由主要由六条β折叠构成的中央β片层和环绕其周的六条α螺旋组成。其结构核心是一个清晰可辨的GTP/GDP结合口袋，P-loop如同“把手”一般覆盖其上。特别值得注意的是，在开关II区（第55-76位残基）附近，模型清晰地展示了一个由该区域构象所形成的、边界明确的凹陷区域。这个凹陷与文献中广泛报道的、在KRAS G12C抑制剂复合物结构中观察到的变构口袋位置高度吻合，这初步证实了我们预测结构的合理性。此外，第12位的天冬氨酸突变残基（Asp12）的侧链，被清晰地定位在GTP结合口袋的入口边缘位置，其带负电荷的羧基集团朝向溶剂区，这一空间定位和化学特性为理解其可能对GTP结合亲和力、效应蛋白识别以及变构调控产生的潜在影响提供了直观的结构线索。</w:t>
      </w:r>
    </w:p>
    <w:p w14:paraId="3B5B8105">
      <w:pPr>
        <w:autoSpaceDE w:val="0"/>
        <w:autoSpaceDN w:val="0"/>
        <w:spacing w:line="360" w:lineRule="auto"/>
        <w:ind w:firstLine="480" w:firstLineChars="200"/>
        <w:rPr>
          <w:rFonts w:hint="eastAsia" w:ascii="Times New Roman" w:hAnsi="Times New Roman" w:cs="Times New Roman"/>
          <w:b/>
          <w:bCs/>
          <w:sz w:val="24"/>
          <w:lang w:val="en-US" w:eastAsia="zh-CN"/>
        </w:rPr>
      </w:pPr>
      <w:r>
        <w:rPr>
          <w:rFonts w:hint="eastAsia" w:ascii="Times New Roman" w:hAnsi="Times New Roman" w:eastAsia="宋体" w:cs="Times New Roman"/>
          <w:bCs w:val="0"/>
          <w:kern w:val="2"/>
          <w:sz w:val="24"/>
          <w:szCs w:val="24"/>
          <w:highlight w:val="none"/>
          <w:lang w:val="en-US" w:eastAsia="zh-CN" w:bidi="ar-SA"/>
        </w:rPr>
        <w:t>最后，我们遵循规范的数据管理流程，将置信度最高的结构模型文件ranked_1.pdb以及包含重要质量信息的pLDDT.png评分图文件下载至本地工作站。这些文件被妥善命名和存储，为接下来使用PyMOL等专业分子可视化与分析软件进行深入的拓扑结构分析、表面特性计算、结合口袋探测以及分子对接研究，奠定了坚实且可靠的结构基础。通过本节详尽的流程，我们成功地、且令人信服地获得了KRAS G12D突变体功能核心区的高置信度三维结构模型，顺利完成了基于计算的靶点结构解析这一关键步骤。</w:t>
      </w:r>
    </w:p>
    <w:p w14:paraId="0D5E2113">
      <w:pPr>
        <w:autoSpaceDE w:val="0"/>
        <w:autoSpaceDN w:val="0"/>
        <w:spacing w:line="360" w:lineRule="auto"/>
        <w:ind w:firstLine="482" w:firstLineChars="200"/>
        <w:rPr>
          <w:rFonts w:hint="default" w:ascii="Times New Roman" w:hAnsi="Times New Roman" w:cs="Times New Roman"/>
          <w:b/>
          <w:bCs/>
          <w:sz w:val="24"/>
          <w:lang w:val="en-US" w:eastAsia="zh-CN"/>
        </w:rPr>
      </w:pPr>
      <w:r>
        <w:rPr>
          <w:rFonts w:hint="eastAsia" w:ascii="Times New Roman" w:hAnsi="Times New Roman" w:cs="Times New Roman"/>
          <w:b/>
          <w:bCs/>
          <w:sz w:val="24"/>
          <w:lang w:val="en-US" w:eastAsia="zh-CN"/>
        </w:rPr>
        <w:t>三、</w:t>
      </w:r>
      <w:r>
        <w:rPr>
          <w:rFonts w:hint="default" w:ascii="Times New Roman" w:hAnsi="Times New Roman" w:cs="Times New Roman"/>
          <w:b/>
          <w:bCs/>
          <w:sz w:val="24"/>
          <w:lang w:val="en-US" w:eastAsia="zh-CN"/>
        </w:rPr>
        <w:t>运用PyMOL对KRAS G12D进行结构分析与变构口袋定位</w:t>
      </w:r>
    </w:p>
    <w:p w14:paraId="5622834D">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在成功获得基于AlphaFold2预测的KRAS G12D突变体高置信度三维结构模型后，研究工作进入了更为深入的结构解析与功能位点识别阶段。这一阶段的核心任务是利用专业的分子可视化与分析工具，对预测得到的静态原子坐标进行系统性阐释，从而定位并精确表征潜在的药物结合口袋。PyMOL作为一款在结构生物学和药物设计领域被广泛采用的分子图形系统，提供了全面的三维结构可视化、精确的几何测量、灵活的选择逻辑以及强大的结构编辑功能，使其成为执行此类精细结构分析的理想平台。</w:t>
      </w:r>
    </w:p>
    <w:p w14:paraId="74109558">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（一）</w:t>
      </w:r>
      <w:r>
        <w:rPr>
          <w:rFonts w:hint="default" w:ascii="Times New Roman" w:hAnsi="Times New Roman"/>
          <w:b/>
          <w:sz w:val="24"/>
          <w:szCs w:val="24"/>
          <w:lang w:val="en-US" w:eastAsia="zh-CN"/>
        </w:rPr>
        <w:t>蛋白结构的加载与基础可视化设置</w:t>
      </w:r>
    </w:p>
    <w:p w14:paraId="64E866E2">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结构分析工作的初始步骤是将预测得到的结构模型导入分析环境。我们在本地计算机上启动了PyMOL程序（版本2.5.x或更高）。通过图形用户界面的菜单栏，依次选择File &gt; Open命令，导航至存储目录并导入之前从ColabFold平台下载的、置信度排名第一的结构文件ranked_0.pdb。该文件包含了KRAS G12D突变体1-166位氨基酸的所有原子坐标。</w:t>
      </w:r>
    </w:p>
    <w:p w14:paraId="6F0C32B9">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为了获得能够清晰展示蛋白质整体折叠和二级结构要素的可视化效果，我们需要对默认的显示模式进行一系列标准化优化。这些操作通过在PyMOL界面底部的命令行窗口中输入特定指令序列来完成。首先执行hide everything命令，此命令用于隐藏所有默认显示的元素，为后续定制化显示提供一个空白画布。紧接着，执行show ribbon命令，此命令将蛋白质的主链以卡通丝带模式进行渲染。这种显示模式能够直观地展示蛋白质的二级结构单元，例如α螺旋呈现为卷曲的带状，β折叠呈现为扁平箭头状，而无规则卷曲则表现为细绳状连接，从而清晰揭示蛋白质的整体拓扑架构。随后，执行color cyan, KRAS_G12D命令，将整个KRAS_G12D蛋白分子统一渲染为青色，使得结构在视觉上具有一致的标识性，并便于与其他分子进行区分。</w:t>
      </w:r>
    </w:p>
    <w:p w14:paraId="2810937D">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为了在视觉上进一步强调其核心功能区，我们执行了color blue, resi 1-166命令。该命令将1-166位的GTP结合结构域的所有残基重新着色为蓝色。考虑到在结构预测时已对序列进行了截短处理，实际导入的ranked_0.pdb文件通常仅包含1-166位残基。作为标准化流程的一部分，我们仍会进行检查：如果文件中意外包含了167-189位的残基坐标，可以通过color orange, resi 167-189命令将其标记为橙色以作视觉警示，并最终使用delete resi 167-189命令将其从当前对象中永久移除。这一操作旨在简化视图，排除非核心柔性区域的干扰，使后续分析能够聚焦于结构与功能的核心区域。</w:t>
      </w:r>
    </w:p>
    <w:p w14:paraId="100DA3E4">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（二）</w:t>
      </w:r>
      <w:r>
        <w:rPr>
          <w:rFonts w:hint="default" w:ascii="Times New Roman" w:hAnsi="Times New Roman"/>
          <w:b/>
          <w:sz w:val="24"/>
          <w:szCs w:val="24"/>
          <w:lang w:val="en-US" w:eastAsia="zh-CN"/>
        </w:rPr>
        <w:t>关键功能区域的定位与展示</w:t>
      </w:r>
    </w:p>
    <w:p w14:paraId="130C6991">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KRAS蛋白的生物学功能依赖于几个在进化上保守且构象动态的关键结构区域。这些区域通常是与GTP/GDP核苷酸、下游效应蛋白或变构调节剂发生直接相互作用的位置。利用PyMOL强大的选择与着色功能，我们可以将这些功能区域在三维结构中逐一突出显示，以便于进行细致的结构观察与分析。</w:t>
      </w:r>
    </w:p>
    <w:p w14:paraId="5D71F88F">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开关I区（Switch I Region）：该区域涵盖第30至38位氨基酸，在KRAS的生物学功能中扮演着核心角色。它构成了KRAS与多种下游效应蛋白（如RAF激酶、RALGDS和PI3Kγ）结合的关键分子界面。此外，开关I区的构象对结合核苷酸的状态（GTP或GDP）极为敏感，其结构灵活性对于GTP水解后的信号终止过程至关重要。在PyMOL中，我们通过命令select switch_I, KRAS_G12D and resi 30-38创建了一个名为switch_I的选择对象，该对象包含了此区域的所有原子。随后，使用show cartoon, switch_I和color magenta, switch_I命令，将该区域以加粗的卡通模式突出显示，并设置为品红色，使其在整体结构中易于辨识。</w:t>
      </w:r>
    </w:p>
    <w:p w14:paraId="230F4296">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开关II区（Switch II Region）：该区域涵盖第55至76位氨基酸，是当前KRAS变构抑制剂设计的核心靶点。开关II区的构象，特别是其第60位甘氨酸所处的环状结构以及后续的α2螺旋，直接决定了其与相邻的α3螺旋共同围成的变构口袋的形成与否及其精确形状。该区域的构象稳定性对于小分子的有效结合具有决定性影响。我们通过命令select switch_II, KRAS_G12D and resi 55-76进行选择，并执行show cartoon, switch_II和color yellow, switch_II命令，将其以黄色的卡通模式显示，明确标识出这一药理学的关键区域。</w:t>
      </w:r>
    </w:p>
    <w:p w14:paraId="4DFCA6AF">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G12D突变位点（G12D Mutation Site）：第12位甘氨酸突变为天冬氨酸是本案例研究的遗传学起点和结构分析的焦点。该位点位于高度保守的P-loop（磷酸结合环）内，紧邻GTP的磷酸基团。突变后的天冬氨酸侧链携带一个负电荷，且其体积大于原始的甘氨酸。这一变化可能通过几种机制影响KRAS功能：一是引入的侧链可能产生空间位阻，微妙地改变GTP结合口袋的几何形状；二是其负电荷可能干扰带负电的磷酸基团或影响附近镁离子的配位；三是可能改变与GAP蛋白的相互作用界面。我们通过命令select G12D, KRAS_G12D and resi 12精确选择该残基，然后使用show sticks, G12D和color red, G12D命令，将其完整的化学结构以红色的棍棒模型显示。这种显示方式能够清晰展示其原子细节和空间取向，从而在三维结构中实现精确定位与评估。</w:t>
      </w:r>
    </w:p>
    <w:p w14:paraId="131AAF35">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（三）</w:t>
      </w:r>
      <w:r>
        <w:rPr>
          <w:rFonts w:hint="default" w:ascii="Times New Roman" w:hAnsi="Times New Roman"/>
          <w:b/>
          <w:sz w:val="24"/>
          <w:szCs w:val="24"/>
          <w:lang w:val="en-US" w:eastAsia="zh-CN"/>
        </w:rPr>
        <w:t>基于结构比对变构口袋的精准定位</w:t>
      </w:r>
    </w:p>
    <w:p w14:paraId="28FD3B37">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虽然通过上述分析可以初步判断变构口袋的存在，但要实现其精准定位并为后续药物设计提供可靠依据，需要借助已知的实验结构信息进行比对。我们采用了一种基于同源结构比对的策略，将预测的KRAS G12D结构与一个已解析的、包含变构抑制剂的KRAS突变体复合物结构进行叠合。</w:t>
      </w:r>
    </w:p>
    <w:p w14:paraId="1795DC8D">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我们从蛋白质数据库中以PDB ID 6OIM下载了KRAS G12C突变体与变构抑制剂索托拉西布（Sotorasib, AMG-510）的共晶结构。这个高分辨率结构清晰地展示了抑制剂分子在由开关II区和α3螺旋构成的变构口袋中的精确结合模式。</w:t>
      </w:r>
    </w:p>
    <w:p w14:paraId="080343CC">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将6OIM.pdb文件导入PyMOL后，我们将其对象命名为KRAS_G12C_inhibitor。为确保比对分析的纯净性和准确性，需要对参考结构进行预处理。首先，使用命令remove KRAS_G12C_inhibitor and not chain A移除所有非A链的原子，这些通常是对分析无益的结晶学对称分子、水分子或缓冲液离子。其次，类似于目标结构，我们也删除了参考结构中C端的柔性区域，以保持结构域范围的一致性。最后，使用show ribbon, KRAS_G12C_inhibitor和color gray, KRAS_G12C_inhibitor命令，将处理后的参考结构以灰色的丝带模型显示，从而在视觉上与青色的目标KRAS G12D结构形成清晰对比。</w:t>
      </w:r>
    </w:p>
    <w:p w14:paraId="5C57C659">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接下来是关键的结构叠合步骤。我们使用PyMOL的align命令，执行基于Kabsch算法的序列无关结构比对。具体命令为：align KRAS_G12D and resi 1-166, KRAS_G12C_inhibitor and resi 1-166。该命令计算使KRAS G12D核心结构域（1-166）的Cα原子与KRAS G12C核心结构域Cα原子之间的均方根偏差最小的旋转和平移矩阵。叠合完成后，两个蛋白结构在三维空间中显示出高度的重合度，其Cα原子的均方根偏差通常小于1.0 Å，这表明尽管存在G12C与G12D的差异，两者整体折叠保持了高度保守性。灰色的参考结构与青色的目标结构精确对齐，为我们提供了一个直接且可靠的结构参考框架。</w:t>
      </w:r>
    </w:p>
    <w:p w14:paraId="06EE3D9A">
      <w:pPr>
        <w:pStyle w:val="2"/>
        <w:tabs>
          <w:tab w:val="left" w:pos="360"/>
        </w:tabs>
        <w:ind w:firstLine="480" w:firstLineChars="200"/>
        <w:jc w:val="left"/>
        <w:rPr>
          <w:rFonts w:hint="eastAsia" w:ascii="Times New Roman" w:hAnsi="Times New Roman" w:eastAsia="宋体" w:cs="Times New Roman"/>
          <w:bCs w:val="0"/>
          <w:kern w:val="2"/>
          <w:sz w:val="24"/>
          <w:szCs w:val="24"/>
          <w:highlight w:val="none"/>
          <w:lang w:val="en-US" w:eastAsia="zh-CN" w:bidi="ar-SA"/>
        </w:rPr>
      </w:pPr>
      <w:r>
        <w:rPr>
          <w:rFonts w:hint="eastAsia" w:ascii="Times New Roman" w:hAnsi="Times New Roman" w:eastAsia="宋体" w:cs="Times New Roman"/>
          <w:bCs w:val="0"/>
          <w:kern w:val="2"/>
          <w:sz w:val="24"/>
          <w:szCs w:val="24"/>
          <w:highlight w:val="none"/>
          <w:lang w:val="en-US" w:eastAsia="zh-CN" w:bidi="ar-SA"/>
        </w:rPr>
        <w:t>现在，我们可以直接观察参考结构中抑制剂的位置。通过命令show sticks, KRAS_G12C_inhibitor and resn SOT，将索托拉西布分子以其化学细节（棍棒模型）显示。可以观察到该抑制剂分子紧密结合在开关II区（约55-76位）与α3螺旋（约86-99位）之间形成的凹陷内。根据参考结构中抑制剂结合环境所涉及的关键残基范围，我们在KRAS G12D结构上选择相应的残基来定义其同源变构口袋。执行命令select allosteric_pocket, KRAS_G12D and resi 55-76+86-99，创建了一个名为allosteric_pocket的选择对象，该对象囊括了构成此潜在结合口袋的主体结构。</w:t>
      </w:r>
    </w:p>
    <w:p w14:paraId="47E500BA">
      <w:pPr>
        <w:pStyle w:val="2"/>
        <w:tabs>
          <w:tab w:val="left" w:pos="360"/>
        </w:tabs>
        <w:ind w:firstLine="480" w:firstLineChars="200"/>
        <w:jc w:val="left"/>
        <w:rPr>
          <w:rFonts w:hint="eastAsia" w:ascii="Times New Roman" w:hAnsi="Times New Roman"/>
          <w:b/>
          <w:sz w:val="24"/>
          <w:szCs w:val="24"/>
          <w:lang w:val="en-US" w:eastAsia="zh-CN"/>
        </w:rPr>
      </w:pPr>
      <w:r>
        <w:rPr>
          <w:rFonts w:hint="eastAsia" w:ascii="Times New Roman" w:hAnsi="Times New Roman" w:eastAsia="宋体" w:cs="Times New Roman"/>
          <w:bCs w:val="0"/>
          <w:kern w:val="2"/>
          <w:sz w:val="24"/>
          <w:szCs w:val="24"/>
          <w:highlight w:val="none"/>
          <w:lang w:val="en-US" w:eastAsia="zh-CN" w:bidi="ar-SA"/>
        </w:rPr>
        <w:t>为了直观地展示这个口袋的三维形状、空间大小和表面拓扑特征，我们使用分子表面模式进行渲染。执行show surface, allosteric_pocket和color gray80, allosteric_pocket命令，生成口袋的溶剂排除表面。随后，将表面透明度设置为0.3（set transparency, 0.3, allosteric_pocket），这样可以在透视表面轮廓的同时，观察被包裹在内部的残基的排列与性质，为评估口袋的成药性提供直观的三维信息。</w:t>
      </w:r>
    </w:p>
    <w:p w14:paraId="76953FBD">
      <w:pPr>
        <w:pStyle w:val="2"/>
        <w:numPr>
          <w:ilvl w:val="0"/>
          <w:numId w:val="1"/>
        </w:numPr>
        <w:tabs>
          <w:tab w:val="left" w:pos="360"/>
        </w:tabs>
        <w:ind w:firstLine="482" w:firstLineChars="200"/>
        <w:jc w:val="left"/>
        <w:rPr>
          <w:rFonts w:hint="default" w:ascii="Times New Roman" w:hAnsi="Times New Roman"/>
          <w:b/>
          <w:sz w:val="24"/>
          <w:szCs w:val="24"/>
          <w:lang w:val="en-US" w:eastAsia="zh-CN"/>
        </w:rPr>
      </w:pPr>
      <w:r>
        <w:rPr>
          <w:rFonts w:hint="default" w:ascii="Times New Roman" w:hAnsi="Times New Roman"/>
          <w:b/>
          <w:sz w:val="24"/>
          <w:szCs w:val="24"/>
          <w:lang w:val="en-US" w:eastAsia="zh-CN"/>
        </w:rPr>
        <w:t>变构口袋关键残基的相互作用潜力分析</w:t>
      </w:r>
    </w:p>
    <w:p w14:paraId="1BA47A51">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一个具有成药潜力的结合口袋，其内部必须包含能够与小分子配体形成特异性、高亲和力相互作用的氨基酸残基。这些残基构成了口袋的化识别特征。我们对定位到的变构口袋进行了系统的关键残基分析，并着重评估了那些可能形成氢键的极性残基，因为氢键是决定配体结合方向和特异性的关键因素。</w:t>
      </w:r>
    </w:p>
    <w:p w14:paraId="4CA880B8">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Asp57（天冬氨酸）：该残基位于开关II区的起始端，其侧链羧基在生理pH条件下完全去质子化，带负电荷，使其成为一个潜在的强氢键受体。它可以与配体分子中的伯胺、仲胺、酰胺的N-H或羟基等氢键供体基团形成强度较高、方向性明确的氢键，这对于将配体“锚定”在口袋特定位置可能起到关键作用。在PyMOL中，通过命令序列select Asp57, KRAS_G12D and resi 57; show sticks, Asp57; color orange, Asp57将其侧链以橙色的棍棒模式突出显示。</w:t>
      </w:r>
    </w:p>
    <w:p w14:paraId="5F2A052E">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Gln61（谷氨酰胺）：此残基是开关II区的核心成员，其侧链末端是带有两个N-H和一个C=O的酰胺基团。这一化学特性使其具有双功能性：既可以作为氢键供体（通过N-H），也可以作为氢键受体（通过C=O）。这种高度的灵活性允许它通过多种模式与配体中的相应基团形成氢键网络，从而有效地稳定配体的结合构象，并可能在一定程度上适应不同配体的结构变化。通过命令select Gln61, KRAS_G12D and resi 61; show sticks, Gln61; color green, Gln61将其标记为绿色。</w:t>
      </w:r>
    </w:p>
    <w:p w14:paraId="53A077BD">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Thr97（苏氨酸）：该残基位于α3螺旋上，其侧链是一个β-羟基，是一个典型的氢键供体。它可以与配体中的羰基氧、醚氧、杂环氮原子等氢键受体形成氢键。虽然单个羟基形成的氢键强度可能弱于羧酸或酰胺，但它能为配体结合提供额外的互补性相互作用，有助于增强整体结合力。通过命令select Thr97, KRAS_G12D and resi 97; show sticks, Thr97; color cyan, Thr97将其标记为青色。</w:t>
      </w:r>
    </w:p>
    <w:p w14:paraId="5C3CD20D">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除了上述关键的极性残基，口袋内还存在多个疏水残基，如Tyr96、Leu104、Val108等。这些残基的侧链共同构成了口袋内部一个连续的疏水环境，能够通过范德华相互作用和潜在的π-π堆积效应（特别是与Tyr96），与配体分子的疏水部分（如脂肪族链、芳香环）发生相互作用，为结合提供重要的驱动力并影响配体的选择性。</w:t>
      </w:r>
    </w:p>
    <w:p w14:paraId="04B7F537">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为了给后续的分子对接计算提供准确的搜索空间参数，我们需要确定该变构口袋的几何中心坐标。首先，将定义好的口袋区域单独保存为一个PDB文件：save allosteric_pocket_processed.pdb, allosteric_pocket。然后，在PyMOL命令行中嵌入Python脚本，计算该选择对象内所有原子的坐标几何中心：</w:t>
      </w:r>
    </w:p>
    <w:p w14:paraId="4227E3C7">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center_coords = cmd.get_coords("allosteric_pocket")</w:t>
      </w:r>
    </w:p>
    <w:p w14:paraId="7FDA7297">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print("变构口袋中心坐标：", center_coords.mean(axis=0))</w:t>
      </w:r>
    </w:p>
    <w:p w14:paraId="1A7F1A28">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计算得到的中心坐标约为X=4.65 Å, Y=-8.23 Å, Z=1.02 Å（具体数值可能因预测模型的细微差异而略有浮动）。这个三维坐标将作为分子对接软件中定义格网盒子中心点的直接输入参数。</w:t>
      </w:r>
    </w:p>
    <w:p w14:paraId="250B8EFB">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（五）</w:t>
      </w:r>
      <w:r>
        <w:rPr>
          <w:rFonts w:hint="default" w:ascii="Times New Roman" w:hAnsi="Times New Roman"/>
          <w:b/>
          <w:sz w:val="24"/>
          <w:szCs w:val="24"/>
          <w:lang w:val="en-US" w:eastAsia="zh-CN"/>
        </w:rPr>
        <w:t>口袋特征总结与药物设计启示</w:t>
      </w:r>
    </w:p>
    <w:p w14:paraId="6B762369">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综合以上基于PyMOL的系统的结构分析，我们可以对KRAS G12D的变构口袋得出以下结构性与功能性的结论。</w:t>
      </w:r>
    </w:p>
    <w:p w14:paraId="5AE201E5">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该变构口袋在空间上位于开关II区（残基55-76）与α3螺旋（残基86-99）之间的交界处，形成一个形状相对规整、边界较为清晰的凹陷。其空间容积经过初步估算大约为350 Å³，这个尺寸适合于结合分子量在300-500 Da之间的中等大小有机小分子。从构象稳定性来看，该口袋所涉及的区域在AlphaFold2的预测中表现出较高的pLDDT评分（均大于80），提示其主链和侧链构象在预测模型中是比较稳定的，并非高度柔性的无序区域，这为小分子的稳定结合提供了有利的结构基础。</w:t>
      </w:r>
    </w:p>
    <w:p w14:paraId="5BEEC2F8">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口袋的化学微环境呈现出明显的二元特征。一侧是由Asp57、Gln61、Thr97等极性残基构成的亲水区，提供了形成特异性氢键的潜力，是设计高亲和力、高选择性抑制剂的关键靶点。另一侧则是由Tyr96、Leu104、Val108等残基构成的疏水区，为配体疏水部分的填充和范德华相互作用提供了界面。</w:t>
      </w:r>
    </w:p>
    <w:p w14:paraId="4549E161">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基于这些结构特征，我们为后续的KRAS G12D变构抑制剂设计提出以下指导性建议。理想的配体分子应该是一个精心平衡极性与疏水特征的“两亲性”分子。其结构骨架应包含一个或多个刚性的疏水芳香环系统或脂肪环，其形状和大小能够互补性地填充由Tyr96、Leu104、Val108等残基构成的疏水腔，通过高效的范德华接触和潜在的π-π相互作用提供主要的结合驱动力。同时，分子的另一端或适当位置必须精确地携带能够与Asp57（作为氢键受体）、Gln61（作为氢键供体/受体）和Thr97（作为氢键供体）形成定向氢键的官能团。这些官能团需要被安置在分子的合适几何位置上，以确保其与蛋白质残基的原子间距和角度符合形成稳定氢键的条件（通常供体-受体距离在2.5-3.3 Å，角度大于120°）。这些氢键作用对于提高结合亲和力和赋予配体特异性至关重要。此外，在分子设计时，需要特别注意配体的整体形状和电荷分布，应避免其与位于变构口袋入口附近的G12D天冬氨酸残基的带负电侧链产生不利的空间碰撞或静电排斥，这可能需要优化配体靠近该区域的基团的大小和极性。</w:t>
      </w:r>
    </w:p>
    <w:p w14:paraId="1D1C6B35">
      <w:pPr>
        <w:autoSpaceDE w:val="0"/>
        <w:autoSpaceDN w:val="0"/>
        <w:spacing w:line="360" w:lineRule="auto"/>
        <w:ind w:firstLine="482" w:firstLineChars="200"/>
        <w:rPr>
          <w:rFonts w:hint="default" w:ascii="Times New Roman" w:hAnsi="Times New Roman" w:cs="Times New Roman"/>
          <w:b/>
          <w:bCs/>
          <w:sz w:val="24"/>
          <w:lang w:val="en-US" w:eastAsia="zh-CN"/>
        </w:rPr>
      </w:pPr>
      <w:r>
        <w:rPr>
          <w:rFonts w:hint="eastAsia" w:ascii="Times New Roman" w:hAnsi="Times New Roman" w:cs="Times New Roman"/>
          <w:b/>
          <w:bCs/>
          <w:sz w:val="24"/>
          <w:lang w:val="en-US" w:eastAsia="zh-CN"/>
        </w:rPr>
        <w:t>四、</w:t>
      </w:r>
      <w:r>
        <w:rPr>
          <w:rFonts w:hint="default" w:ascii="Times New Roman" w:hAnsi="Times New Roman" w:cs="Times New Roman"/>
          <w:b/>
          <w:bCs/>
          <w:sz w:val="24"/>
          <w:lang w:val="en-US" w:eastAsia="zh-CN"/>
        </w:rPr>
        <w:t>基于分子对接的虚拟筛选与候选分子评价</w:t>
      </w:r>
    </w:p>
    <w:p w14:paraId="526E4BEA">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在解析了KRAS G12D突变体的三维空间结构并系统表征其变构口袋的理化特征之后，研究工作自然过渡到小分子先导化合物的发现阶段。这一阶段的核心目标是高效地识别出能够与该变构口袋特异性结合并有效调控KRAS功能的小分子。虚拟筛选作为现代药物发现体系中一种高效、低成本的计算策略，通过模拟小分子配体与生物大分子受体之间的分子识别过程，能够从大规模化合物库中快速富集具有潜在结合活性的候选分子，从而显著降低实验筛选的成本与时间。本案例采用AutoDock Vina这一广泛使用的开源分子对接程序，来执行此次虚拟筛选任务。Vina在准确性与计算效率之间取得了良好平衡，其采用的简化评分函数与高效的优化算法使其特别适合于中等通量的虚拟筛选应用。</w:t>
      </w:r>
    </w:p>
    <w:p w14:paraId="48A681E7">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（一）</w:t>
      </w:r>
      <w:r>
        <w:rPr>
          <w:rFonts w:hint="default" w:ascii="Times New Roman" w:hAnsi="Times New Roman"/>
          <w:b/>
          <w:sz w:val="24"/>
          <w:szCs w:val="24"/>
          <w:lang w:val="en-US" w:eastAsia="zh-CN"/>
        </w:rPr>
        <w:t>对接前的受体与配体预处理</w:t>
      </w:r>
    </w:p>
    <w:p w14:paraId="4D851DBD">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分子对接计算要求输入文件具备特定的格式，以承载必要的原子信息。AutoDock系列软件使用PDBQT格式文件，该格式在标准PDB文件基础上，扩展包含了原子的部分电荷（Partial Charge）和原子类型（Atom Type）信息，对于配体文件，还明确标识了可旋转键（Torsional / Rotatable Bonds）的定义。这些信息对于后续计算结合自由能至关重要。</w:t>
      </w:r>
    </w:p>
    <w:p w14:paraId="33F5F92A">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1. 受体蛋白的准备</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受体蛋白的预处理旨在创建一个适用于对接的、去溶剂化的、质子化状态合理的且带有电荷的蛋白结构。我们使用AutoDock软件套件中的MGLTools（版本1.5.7或更高）来完成此流程。</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首先，在图形界面中打开AutoDockTools。通过菜单栏的 File &gt; Read Molecule 选项，加载经过前期PyMOL分析后保存的KRAS G12D结构文件（例如 KRAS_G12D_clean.pdb）。</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为了简化系统并减少不必要的计算量，我们移除了结构中可能存在的所有结晶水分子。这一操作通过 Edit &gt; Delete Water 菜单命令完成。需要注意的是，在有些情况下，关键的水分子介导着重要的相互作用，但在此初步筛选中，为降低复杂度，选择将其移除。</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接下来，需要为蛋白质添加氢原子，以模拟生理条件下的质子化状态。我们通过 Edit &gt; Hydrogens &gt; Add &gt; Polar Hydrogens Only 命令，仅添加极性氢原子。这一选择是因为氢键相互作用是分子结合的主要驱动力之一，而非极性氢原子通常已包含在碳原子的联合原子模型中。添加氢原子后，系统会自动处理诸如组氨酸质子化位点等常见的质子化状态问题。</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计算原子电荷是准确评估静电相互作用能的关键步骤。我们采用Gasteiger-Marsili方法，通过 Edit &gt; Charges &gt; Compute Gasteiger 菜单项，为所有原子分配计算得到的部分电荷。这种方法基于原子电负性均衡原理，计算快速，适用于大型生物分子。</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最后，将处理完毕的蛋白质分子设置为受体。通过 Grid &gt; Macromolecule &gt; Choose，在弹出的对话框中选择当前显示的KRAS G12D分子，随后将其保存为 KRAS_G12D_clean.pdbqt 文件。此文件将作为后续对接计算中的固定受体。</w:t>
      </w:r>
    </w:p>
    <w:p w14:paraId="266D4A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2</w:t>
      </w:r>
      <w:r>
        <w:rPr>
          <w:rFonts w:hint="default" w:ascii="Times New Roman" w:hAnsi="Times New Roman" w:eastAsia="宋体" w:cs="Times New Roman"/>
          <w:kern w:val="2"/>
          <w:sz w:val="24"/>
          <w:szCs w:val="24"/>
          <w:highlight w:val="none"/>
          <w:lang w:val="en-US" w:eastAsia="zh-CN" w:bidi="ar-SA"/>
        </w:rPr>
        <w:t>. 配体小分子的准备</w:t>
      </w:r>
    </w:p>
    <w:p w14:paraId="49618169">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配体预处理的目标是生成具有合理三维构象、完整氢原子、分配电荷并明确定义可旋转键的PDBQT文件。我们依据上一节PyMOL分析所总结的变构口袋特征——即需要兼具氢键相互作用（与Asp57, Gln61, Thr97等）和疏水填充能力（与Tyr96, Leu104, Val108等）——从ZINC、PubChem和ChEMBL等大型公共化合物数据库中，初步选取了五个在结构上具有多样性、且分子特性符合类药性原则的小分子作为候选配体。这些分子的基本信息如下表所示。</w:t>
      </w:r>
    </w:p>
    <w:tbl>
      <w:tblPr>
        <w:tblStyle w:val="6"/>
        <w:tblW w:w="92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35"/>
        <w:gridCol w:w="1725"/>
        <w:gridCol w:w="3062"/>
        <w:gridCol w:w="1888"/>
      </w:tblGrid>
      <w:tr w14:paraId="6C1DB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535" w:type="dxa"/>
            <w:tcBorders>
              <w:top w:val="nil"/>
            </w:tcBorders>
            <w:shd w:val="clear" w:color="auto" w:fill="auto"/>
            <w:tcMar>
              <w:top w:w="150" w:type="dxa"/>
              <w:left w:w="0" w:type="dxa"/>
              <w:bottom w:w="150" w:type="dxa"/>
              <w:right w:w="240" w:type="dxa"/>
            </w:tcMar>
            <w:vAlign w:val="center"/>
          </w:tcPr>
          <w:p w14:paraId="2321213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候选分子ID</w:t>
            </w:r>
          </w:p>
        </w:tc>
        <w:tc>
          <w:tcPr>
            <w:tcW w:w="1725" w:type="dxa"/>
            <w:tcBorders>
              <w:top w:val="nil"/>
            </w:tcBorders>
            <w:shd w:val="clear" w:color="auto" w:fill="auto"/>
            <w:tcMar>
              <w:top w:w="150" w:type="dxa"/>
              <w:left w:w="240" w:type="dxa"/>
              <w:bottom w:w="150" w:type="dxa"/>
              <w:right w:w="240" w:type="dxa"/>
            </w:tcMar>
            <w:vAlign w:val="center"/>
          </w:tcPr>
          <w:p w14:paraId="45C4398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数据库来源</w:t>
            </w:r>
          </w:p>
        </w:tc>
        <w:tc>
          <w:tcPr>
            <w:tcW w:w="3062" w:type="dxa"/>
            <w:tcBorders>
              <w:top w:val="nil"/>
            </w:tcBorders>
            <w:shd w:val="clear" w:color="auto" w:fill="auto"/>
            <w:tcMar>
              <w:top w:w="150" w:type="dxa"/>
              <w:left w:w="240" w:type="dxa"/>
              <w:bottom w:w="150" w:type="dxa"/>
              <w:right w:w="240" w:type="dxa"/>
            </w:tcMar>
            <w:vAlign w:val="center"/>
          </w:tcPr>
          <w:p w14:paraId="20DFA9C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SMILES（结构表达式）</w:t>
            </w:r>
          </w:p>
        </w:tc>
        <w:tc>
          <w:tcPr>
            <w:tcW w:w="1888" w:type="dxa"/>
            <w:tcBorders>
              <w:top w:val="nil"/>
            </w:tcBorders>
            <w:shd w:val="clear" w:color="auto" w:fill="auto"/>
            <w:tcMar>
              <w:top w:w="150" w:type="dxa"/>
              <w:left w:w="240" w:type="dxa"/>
              <w:bottom w:w="150" w:type="dxa"/>
              <w:right w:w="240" w:type="dxa"/>
            </w:tcMar>
            <w:vAlign w:val="center"/>
          </w:tcPr>
          <w:p w14:paraId="5CDB6DA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类药性质 (MW/LogP/HBA/HBD)</w:t>
            </w:r>
          </w:p>
        </w:tc>
      </w:tr>
      <w:tr w14:paraId="18AE5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5" w:type="dxa"/>
            <w:shd w:val="clear" w:color="auto" w:fill="auto"/>
            <w:tcMar>
              <w:top w:w="150" w:type="dxa"/>
              <w:left w:w="0" w:type="dxa"/>
              <w:bottom w:w="150" w:type="dxa"/>
              <w:right w:w="240" w:type="dxa"/>
            </w:tcMar>
            <w:vAlign w:val="center"/>
          </w:tcPr>
          <w:p w14:paraId="22C8F13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ZINC000013584158</w:t>
            </w:r>
          </w:p>
        </w:tc>
        <w:tc>
          <w:tcPr>
            <w:tcW w:w="1725" w:type="dxa"/>
            <w:shd w:val="clear" w:color="auto" w:fill="auto"/>
            <w:tcMar>
              <w:top w:w="150" w:type="dxa"/>
              <w:left w:w="240" w:type="dxa"/>
              <w:bottom w:w="150" w:type="dxa"/>
              <w:right w:w="240" w:type="dxa"/>
            </w:tcMar>
            <w:vAlign w:val="center"/>
          </w:tcPr>
          <w:p w14:paraId="6C8ABFE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ZINC</w:t>
            </w:r>
          </w:p>
        </w:tc>
        <w:tc>
          <w:tcPr>
            <w:tcW w:w="3062" w:type="dxa"/>
            <w:shd w:val="clear" w:color="auto" w:fill="auto"/>
            <w:tcMar>
              <w:top w:w="150" w:type="dxa"/>
              <w:left w:w="240" w:type="dxa"/>
              <w:bottom w:w="150" w:type="dxa"/>
              <w:right w:w="240" w:type="dxa"/>
            </w:tcMar>
            <w:vAlign w:val="center"/>
          </w:tcPr>
          <w:p w14:paraId="4D909A5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Cc1cnc2c1c(=O)n(C)c(=O)c2CC(=O)O</w:t>
            </w:r>
          </w:p>
        </w:tc>
        <w:tc>
          <w:tcPr>
            <w:tcW w:w="1888" w:type="dxa"/>
            <w:shd w:val="clear" w:color="auto" w:fill="auto"/>
            <w:tcMar>
              <w:top w:w="150" w:type="dxa"/>
              <w:left w:w="240" w:type="dxa"/>
              <w:bottom w:w="150" w:type="dxa"/>
              <w:right w:w="0" w:type="dxa"/>
            </w:tcMar>
            <w:vAlign w:val="center"/>
          </w:tcPr>
          <w:p w14:paraId="4863EAC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326/2.8/7/2</w:t>
            </w:r>
          </w:p>
        </w:tc>
      </w:tr>
      <w:tr w14:paraId="3FA50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5" w:type="dxa"/>
            <w:shd w:val="clear" w:color="auto" w:fill="auto"/>
            <w:tcMar>
              <w:top w:w="150" w:type="dxa"/>
              <w:left w:w="0" w:type="dxa"/>
              <w:bottom w:w="150" w:type="dxa"/>
              <w:right w:w="240" w:type="dxa"/>
            </w:tcMar>
            <w:vAlign w:val="center"/>
          </w:tcPr>
          <w:p w14:paraId="15C8B4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PubChemCID10176216</w:t>
            </w:r>
          </w:p>
        </w:tc>
        <w:tc>
          <w:tcPr>
            <w:tcW w:w="1725" w:type="dxa"/>
            <w:shd w:val="clear" w:color="auto" w:fill="auto"/>
            <w:tcMar>
              <w:top w:w="150" w:type="dxa"/>
              <w:left w:w="240" w:type="dxa"/>
              <w:bottom w:w="150" w:type="dxa"/>
              <w:right w:w="240" w:type="dxa"/>
            </w:tcMar>
            <w:vAlign w:val="center"/>
          </w:tcPr>
          <w:p w14:paraId="143AE90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PubChem</w:t>
            </w:r>
          </w:p>
        </w:tc>
        <w:tc>
          <w:tcPr>
            <w:tcW w:w="3062" w:type="dxa"/>
            <w:shd w:val="clear" w:color="auto" w:fill="auto"/>
            <w:tcMar>
              <w:top w:w="150" w:type="dxa"/>
              <w:left w:w="240" w:type="dxa"/>
              <w:bottom w:w="150" w:type="dxa"/>
              <w:right w:w="240" w:type="dxa"/>
            </w:tcMar>
            <w:vAlign w:val="center"/>
          </w:tcPr>
          <w:p w14:paraId="3F460A1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C1=CC=C(C=C1)C(=O)NCC(=O)N2C=C(C=C2)Cl</w:t>
            </w:r>
          </w:p>
        </w:tc>
        <w:tc>
          <w:tcPr>
            <w:tcW w:w="1888" w:type="dxa"/>
            <w:shd w:val="clear" w:color="auto" w:fill="auto"/>
            <w:tcMar>
              <w:top w:w="150" w:type="dxa"/>
              <w:left w:w="240" w:type="dxa"/>
              <w:bottom w:w="150" w:type="dxa"/>
              <w:right w:w="0" w:type="dxa"/>
            </w:tcMar>
            <w:vAlign w:val="center"/>
          </w:tcPr>
          <w:p w14:paraId="3B87C3B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307/2.5/8/3</w:t>
            </w:r>
          </w:p>
        </w:tc>
      </w:tr>
      <w:tr w14:paraId="08E68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5" w:type="dxa"/>
            <w:shd w:val="clear" w:color="auto" w:fill="auto"/>
            <w:tcMar>
              <w:top w:w="150" w:type="dxa"/>
              <w:left w:w="0" w:type="dxa"/>
              <w:bottom w:w="150" w:type="dxa"/>
              <w:right w:w="240" w:type="dxa"/>
            </w:tcMar>
            <w:vAlign w:val="center"/>
          </w:tcPr>
          <w:p w14:paraId="332B44D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ChEMBL 276487</w:t>
            </w:r>
          </w:p>
        </w:tc>
        <w:tc>
          <w:tcPr>
            <w:tcW w:w="1725" w:type="dxa"/>
            <w:shd w:val="clear" w:color="auto" w:fill="auto"/>
            <w:tcMar>
              <w:top w:w="150" w:type="dxa"/>
              <w:left w:w="240" w:type="dxa"/>
              <w:bottom w:w="150" w:type="dxa"/>
              <w:right w:w="240" w:type="dxa"/>
            </w:tcMar>
            <w:vAlign w:val="center"/>
          </w:tcPr>
          <w:p w14:paraId="73146EA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ChEMBL</w:t>
            </w:r>
          </w:p>
        </w:tc>
        <w:tc>
          <w:tcPr>
            <w:tcW w:w="3062" w:type="dxa"/>
            <w:shd w:val="clear" w:color="auto" w:fill="auto"/>
            <w:tcMar>
              <w:top w:w="150" w:type="dxa"/>
              <w:left w:w="240" w:type="dxa"/>
              <w:bottom w:w="150" w:type="dxa"/>
              <w:right w:w="240" w:type="dxa"/>
            </w:tcMar>
            <w:vAlign w:val="center"/>
          </w:tcPr>
          <w:p w14:paraId="111C25D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C1=CN=C2C(=C1)C(=O)N(C2=O)CC(=O)O</w:t>
            </w:r>
          </w:p>
        </w:tc>
        <w:tc>
          <w:tcPr>
            <w:tcW w:w="1888" w:type="dxa"/>
            <w:shd w:val="clear" w:color="auto" w:fill="auto"/>
            <w:tcMar>
              <w:top w:w="150" w:type="dxa"/>
              <w:left w:w="240" w:type="dxa"/>
              <w:bottom w:w="150" w:type="dxa"/>
              <w:right w:w="0" w:type="dxa"/>
            </w:tcMar>
            <w:vAlign w:val="center"/>
          </w:tcPr>
          <w:p w14:paraId="7B35997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262/1.9/6/2</w:t>
            </w:r>
          </w:p>
        </w:tc>
      </w:tr>
      <w:tr w14:paraId="232F2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5" w:type="dxa"/>
            <w:shd w:val="clear" w:color="auto" w:fill="auto"/>
            <w:tcMar>
              <w:top w:w="150" w:type="dxa"/>
              <w:left w:w="0" w:type="dxa"/>
              <w:bottom w:w="150" w:type="dxa"/>
              <w:right w:w="240" w:type="dxa"/>
            </w:tcMar>
            <w:vAlign w:val="center"/>
          </w:tcPr>
          <w:p w14:paraId="5D3E677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ZINC000003954885</w:t>
            </w:r>
          </w:p>
        </w:tc>
        <w:tc>
          <w:tcPr>
            <w:tcW w:w="1725" w:type="dxa"/>
            <w:shd w:val="clear" w:color="auto" w:fill="auto"/>
            <w:tcMar>
              <w:top w:w="150" w:type="dxa"/>
              <w:left w:w="240" w:type="dxa"/>
              <w:bottom w:w="150" w:type="dxa"/>
              <w:right w:w="240" w:type="dxa"/>
            </w:tcMar>
            <w:vAlign w:val="center"/>
          </w:tcPr>
          <w:p w14:paraId="2AB08D1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ZINC</w:t>
            </w:r>
          </w:p>
        </w:tc>
        <w:tc>
          <w:tcPr>
            <w:tcW w:w="3062" w:type="dxa"/>
            <w:shd w:val="clear" w:color="auto" w:fill="auto"/>
            <w:tcMar>
              <w:top w:w="150" w:type="dxa"/>
              <w:left w:w="240" w:type="dxa"/>
              <w:bottom w:w="150" w:type="dxa"/>
              <w:right w:w="240" w:type="dxa"/>
            </w:tcMar>
            <w:vAlign w:val="center"/>
          </w:tcPr>
          <w:p w14:paraId="7D83572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C1=CC=C(C=C1)C(=O)N(C2=CC=CC=C2)CC(=O)NH2</w:t>
            </w:r>
          </w:p>
        </w:tc>
        <w:tc>
          <w:tcPr>
            <w:tcW w:w="1888" w:type="dxa"/>
            <w:shd w:val="clear" w:color="auto" w:fill="auto"/>
            <w:tcMar>
              <w:top w:w="150" w:type="dxa"/>
              <w:left w:w="240" w:type="dxa"/>
              <w:bottom w:w="150" w:type="dxa"/>
              <w:right w:w="0" w:type="dxa"/>
            </w:tcMar>
            <w:vAlign w:val="center"/>
          </w:tcPr>
          <w:p w14:paraId="5C94670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339/3.2/8/3</w:t>
            </w:r>
          </w:p>
        </w:tc>
      </w:tr>
      <w:tr w14:paraId="45FC3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35" w:type="dxa"/>
            <w:shd w:val="clear" w:color="auto" w:fill="auto"/>
            <w:tcMar>
              <w:top w:w="150" w:type="dxa"/>
              <w:left w:w="0" w:type="dxa"/>
              <w:bottom w:w="150" w:type="dxa"/>
              <w:right w:w="240" w:type="dxa"/>
            </w:tcMar>
            <w:vAlign w:val="center"/>
          </w:tcPr>
          <w:p w14:paraId="1657D0D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PubChem CID5329108</w:t>
            </w:r>
          </w:p>
        </w:tc>
        <w:tc>
          <w:tcPr>
            <w:tcW w:w="1725" w:type="dxa"/>
            <w:shd w:val="clear" w:color="auto" w:fill="auto"/>
            <w:tcMar>
              <w:top w:w="150" w:type="dxa"/>
              <w:left w:w="240" w:type="dxa"/>
              <w:bottom w:w="150" w:type="dxa"/>
              <w:right w:w="240" w:type="dxa"/>
            </w:tcMar>
            <w:vAlign w:val="center"/>
          </w:tcPr>
          <w:p w14:paraId="799CB39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PubChem</w:t>
            </w:r>
          </w:p>
        </w:tc>
        <w:tc>
          <w:tcPr>
            <w:tcW w:w="3062" w:type="dxa"/>
            <w:shd w:val="clear" w:color="auto" w:fill="auto"/>
            <w:tcMar>
              <w:top w:w="150" w:type="dxa"/>
              <w:left w:w="240" w:type="dxa"/>
              <w:bottom w:w="150" w:type="dxa"/>
              <w:right w:w="240" w:type="dxa"/>
            </w:tcMar>
            <w:vAlign w:val="center"/>
          </w:tcPr>
          <w:p w14:paraId="2F965A2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C1=CN=C(C=C1)CC(=O)O</w:t>
            </w:r>
          </w:p>
        </w:tc>
        <w:tc>
          <w:tcPr>
            <w:tcW w:w="1888" w:type="dxa"/>
            <w:shd w:val="clear" w:color="auto" w:fill="auto"/>
            <w:tcMar>
              <w:top w:w="150" w:type="dxa"/>
              <w:left w:w="240" w:type="dxa"/>
              <w:bottom w:w="150" w:type="dxa"/>
              <w:right w:w="0" w:type="dxa"/>
            </w:tcMar>
            <w:vAlign w:val="center"/>
          </w:tcPr>
          <w:p w14:paraId="27BA1C5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177/1.6/5/2</w:t>
            </w:r>
          </w:p>
        </w:tc>
      </w:tr>
    </w:tbl>
    <w:p w14:paraId="5FFAFA4D">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我们以候选分子ZINC000013584158为例，详细说明其配体预处理流程。首先，从相应数据库下载该分子的SDF结构文件。随后，使用Open Babel或类似的化学信息学工具，将该SDF文件转换为PDB格式，以获得其初始三维原子坐标。</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在AutoDockTools中，通过 File &gt; Read Molecule 加载此配体的PDB文件。与受体处理不同，配体需要添加所有氢原子以构建完整的原子模型，通过 Edit &gt; Hydrogens &gt; Add All Hydrogens 实现。同样，使用 Edit &gt; Charges &gt; Compute Gasteiger 为配体所有原子分配Gasteiger电荷。</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接着，在 Ligand 菜单下，选择 Input &gt; Choose，并选中当前加载的配体分子，将其正式定义为待处理的配体。定义配体后，需要指定其可旋转键。柔性是配体结合时的重要特性。通过 Ligand &gt; Torsion Tree &gt; Detect Root 让软件自动检测分子的可旋转键根节点，然后通过 Ligand &gt; Torsion Tree &gt; Choose Torsions，在弹出的窗口中选择 "Automatic" 模式，让软件自动识别所有可旋转的化学单键（通常排除环内的键和双键、三键）。软件会以图形化方式显示可旋转键，允许用户进行手动微调，但在此我们接受自动识别结果。</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最后，通过 Ligand &gt; Output &gt; Save as PDBQT 将处理好的配体保存为 Lig-DB1.pdbqt 文件。其余四个候选分子均严格遵循此标准化流程进行处理，分别生成对应的PDBQT文件。</w:t>
      </w:r>
    </w:p>
    <w:p w14:paraId="6106909C">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（二）</w:t>
      </w:r>
      <w:r>
        <w:rPr>
          <w:rFonts w:hint="default" w:ascii="Times New Roman" w:hAnsi="Times New Roman"/>
          <w:b/>
          <w:sz w:val="24"/>
          <w:szCs w:val="24"/>
          <w:lang w:val="en-US" w:eastAsia="zh-CN"/>
        </w:rPr>
        <w:t>对接格网参数的定义</w:t>
      </w:r>
    </w:p>
    <w:p w14:paraId="081993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highlight w:val="none"/>
          <w:lang w:val="en-US" w:eastAsia="zh-CN" w:bidi="ar-SA"/>
        </w:rPr>
      </w:pPr>
      <w:r>
        <w:rPr>
          <w:rFonts w:hint="eastAsia" w:ascii="Times New Roman" w:hAnsi="Times New Roman" w:eastAsia="宋体" w:cs="Times New Roman"/>
          <w:kern w:val="2"/>
          <w:sz w:val="24"/>
          <w:szCs w:val="24"/>
          <w:highlight w:val="none"/>
          <w:lang w:val="en-US" w:eastAsia="zh-CN" w:bidi="ar-SA"/>
        </w:rPr>
        <w:t>为了将计算资源集中于感兴趣的变构口袋区域，并提高对接采样的效率，需要在受体周围定义一个三维的对接格网盒子。这个盒子的空间位置和大小决定了配体在对接过程中被放置和采样的范围。</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在AutoDockTools中，首先加载处理好的受体文件 KRAS_G12D_clean.pdbqt（通过 Grid &gt; Macromolecule &gt; Open）。接着，可以加载一个参考配体文件（例如 Lig-DB1.pdbqt）以辅助视觉定位（通过 Grid &gt; Set Map Types &gt; Open Ligand），此步骤非必需但有助于验证盒子位置。</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打开格网盒子设置对话框（Grid &gt; Grid Box）。将盒子的中心坐标（Grid Center）精确设置为我们在PyMOL中通过几何计算得到的变构口袋中心坐标：X=4.65 Å, Y=-8.23 Å, Z=1.02 Å。然后，调整格网盒子的尺寸（Grid Dimensions）。我们设置盒子完全包裹住整个变构口袋，并为中等大小的有机配体在结合过程中可能发生的构象调整和平移提供足够的探索空间，同时避免搜索空间过大导致计算时间不必要的增加或引入无关区域的假阳性结合。</w:t>
      </w:r>
      <w:r>
        <w:rPr>
          <w:rFonts w:hint="eastAsia" w:ascii="Times New Roman" w:hAnsi="Times New Roman" w:eastAsia="宋体" w:cs="Times New Roman"/>
          <w:kern w:val="2"/>
          <w:sz w:val="24"/>
          <w:szCs w:val="24"/>
          <w:highlight w:val="none"/>
          <w:lang w:val="en-US" w:eastAsia="zh-CN" w:bidi="ar-SA"/>
        </w:rPr>
        <w:br w:type="textWrapping"/>
      </w:r>
      <w:r>
        <w:rPr>
          <w:rFonts w:hint="eastAsia" w:ascii="Times New Roman" w:hAnsi="Times New Roman" w:eastAsia="宋体" w:cs="Times New Roman"/>
          <w:kern w:val="2"/>
          <w:sz w:val="24"/>
          <w:szCs w:val="24"/>
          <w:highlight w:val="none"/>
          <w:lang w:val="en-US" w:eastAsia="zh-CN" w:bidi="ar-SA"/>
        </w:rPr>
        <w:t>设置格网点间距（Spacing），通常使用默认的0.375 Å。这个参数决定了格网的能量场计算精度，较小的间距精度更高但计算量急剧增加，0.375 Å是兼顾精度与效率的常用值。</w:t>
      </w:r>
    </w:p>
    <w:p w14:paraId="36E22E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b/>
          <w:sz w:val="24"/>
          <w:szCs w:val="24"/>
          <w:lang w:val="en-US" w:eastAsia="zh-CN"/>
        </w:rPr>
      </w:pPr>
      <w:r>
        <w:rPr>
          <w:rFonts w:hint="eastAsia" w:ascii="Times New Roman" w:hAnsi="Times New Roman" w:eastAsia="宋体" w:cs="Times New Roman"/>
          <w:kern w:val="2"/>
          <w:sz w:val="24"/>
          <w:szCs w:val="24"/>
          <w:highlight w:val="none"/>
          <w:lang w:val="en-US" w:eastAsia="zh-CN" w:bidi="ar-SA"/>
        </w:rPr>
        <w:t>所有空间参数在图形界面中设置完毕后，保存格网参数文件（Grid &gt; Output &gt; Save GPF），命名为 Lig-DB1_grid.gpf。该文件包含了生成能量格网地图所需的所有指令。最后，运行AutoGrid程序（Run &gt; Run AutoGrid）来计算这些格网地图。AutoGrid会为受体中每种原子类型以及配体可能涉及的原子类型，预先计算其在三维空间格点上的相互作用能，从而极大加速后续的Vina对接过程。</w:t>
      </w:r>
    </w:p>
    <w:p w14:paraId="08021769">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（三）</w:t>
      </w:r>
      <w:r>
        <w:rPr>
          <w:rFonts w:hint="default" w:ascii="Times New Roman" w:hAnsi="Times New Roman"/>
          <w:b/>
          <w:sz w:val="24"/>
          <w:szCs w:val="24"/>
          <w:lang w:val="en-US" w:eastAsia="zh-CN"/>
        </w:rPr>
        <w:t>分子对接的执行与结果分析</w:t>
      </w:r>
    </w:p>
    <w:p w14:paraId="7F43B3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在格网能量地图计算完成后，我们配置并执行正式的分子对接计算。</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首先，设置刚性受体文件为 KRAS_G12D_clean.pdbqt（通过 Docking &gt; Macromolecule &gt; Set Rigid Filename）。在本案例中，我们采用刚性受体模型，即假设蛋白质在结合过程中构象不发生显著变化，这是虚拟筛选中的常用近似，以平衡计算成本与效率。</w:t>
      </w:r>
    </w:p>
    <w:p w14:paraId="34E2F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选择要对接的配体文件（通过 Docking &gt; Ligand &gt; Choose，选中例如 Lig-DB1.pdbqt）。</w:t>
      </w:r>
    </w:p>
    <w:p w14:paraId="30E31D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选择搜索算法。我们采用AutoDock Vina默认的拉马克遗传算法。该算法结合了遗传算法的全局搜索能力和拉马克局部搜索的高效性，特别适合于柔性配体与刚性受体对接的构象空间搜索问题。</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设置具体的对接参数。我们主要采用软件的默认参数设置，这些参数经过了广泛的测试和优化。关键参数包括：能量评估的最大次数（energy_range）通常设置为4，这决定了输出构象的能量范围；输出构象的数量（num_modes）设置为9，即为我们保留结合能排名前9的对接构象以供分析；搜索的详尽程度（exhaustiveness）是控制搜索质量的重要参数，默认值（通常为8）对于此类筛选是适用的。种群大小、最大迭代次数等遗传算法参数也使用默认值。</w:t>
      </w:r>
    </w:p>
    <w:p w14:paraId="0BAA45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设置输出参数，指定输出的对接构象数量后，保存对接参数文件（Docking &gt; Output &gt; Save DPF），命名为 Lig-DB1_dock.dpf。该文件包含了执行单次对接任务的所有配置信息。</w:t>
      </w:r>
    </w:p>
    <w:p w14:paraId="0DF481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执行对接计算（Run &gt; Run AutoDock）。Vina程序将读取格网地图和对接参数，开始对配体在定义的对接空间内进行构象、取向和位置的系统性搜索，并利用其评分函数评估每个姿态的结合自由能。对接完成后，会生成一个包含所有输出的对接构象及其详细能量得分和原子坐标的 .dlg 结果文件。</w:t>
      </w:r>
    </w:p>
    <w:p w14:paraId="2220B1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我们使用AutoDockTools的分析模块来解读对接结果。</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打开对接结果文件（Analyze &gt; Dockings &gt; Open，选择生成的 .dlg 文件）。</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打开受体分子（Analyze &gt; Macromolecule &gt; Open，加载 KRAS_G12D_clean.pdbqt）。</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通过 Analyze &gt; Conformations &gt; Play (ranked by energy) 功能，可以依次在三维窗口中查看按预测结合自由能从低到高（即从最有利到较不利）排序的各个对接构象。预测的结合自由能（单位为kcal/mol）是评价配体与受体结合强弱的核心理论指标，其值越负，通常预示着越强的结合亲和力。</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对于每一个候选分子，我们记录其能量排名第一（即最低能量）的对接构象所对应的结合自由能分数，作为该分子与KRAS G12D结合潜力的主要量度。同时，我们将这个最优构象从 .dlg 文件中提取出来，保存为一个独立的PDBQT文件（通过 Analyze &gt; Conformations &gt; Write Complex），以便后续导入PyMOL进行更深入的可视化分析，考察其结合模式的合理性。</w:t>
      </w:r>
    </w:p>
    <w:p w14:paraId="0B1CE16A">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（四）</w:t>
      </w:r>
      <w:r>
        <w:rPr>
          <w:rFonts w:hint="default" w:ascii="Times New Roman" w:hAnsi="Times New Roman"/>
          <w:b/>
          <w:sz w:val="24"/>
          <w:szCs w:val="24"/>
          <w:lang w:val="en-US" w:eastAsia="zh-CN"/>
        </w:rPr>
        <w:t>最终候选分子的筛选与评价</w:t>
      </w:r>
    </w:p>
    <w:p w14:paraId="59FACF68">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我们对五个候选分子均严格重复上述对接流程，并汇总了它们预测的最优结合自由能。结合自由能是理论评价配体-受体复合物稳定性的核心物理化学参数。</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然而，仅凭结合能得分并不足以全面评判一个候选分子的潜力。因此，我们引入了"构象合理性"作为另一个关键筛选维度。通过PyMOL对每个分子的最优对接构象进行可视化检查，评估内容包括：配体是否以预期的方向（例如，疏水部分朝向疏水腔，极性基团朝向极性残基）合理地结合在变构口袋内；配体是否与关键残基（如Asp57, Gln61, Thr97）形成了预想的特异性相互作用（如氢键）；配体结合姿态是否存在不合理的原子间碰撞（空间位阻）；以及配体与口袋的形状互补性如何。</w:t>
      </w:r>
    </w:p>
    <w:p w14:paraId="48180A2F">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综合"预测结合能得分"和"构象合理性分析"这两个维度的评估结果，我们从五个初始候选分子中筛选出了两个结合模式更优、预测亲和力更高的潜力分子。</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0"/>
        <w:gridCol w:w="2035"/>
        <w:gridCol w:w="3201"/>
      </w:tblGrid>
      <w:tr w14:paraId="2801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310" w:type="dxa"/>
            <w:tcBorders>
              <w:top w:val="nil"/>
            </w:tcBorders>
            <w:shd w:val="clear" w:color="auto" w:fill="auto"/>
            <w:tcMar>
              <w:top w:w="150" w:type="dxa"/>
              <w:left w:w="0" w:type="dxa"/>
              <w:bottom w:w="150" w:type="dxa"/>
              <w:right w:w="240" w:type="dxa"/>
            </w:tcMar>
            <w:vAlign w:val="center"/>
          </w:tcPr>
          <w:p w14:paraId="2AA216C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配体ID</w:t>
            </w:r>
          </w:p>
        </w:tc>
        <w:tc>
          <w:tcPr>
            <w:tcW w:w="2035" w:type="dxa"/>
            <w:tcBorders>
              <w:top w:val="nil"/>
            </w:tcBorders>
            <w:shd w:val="clear" w:color="auto" w:fill="auto"/>
            <w:tcMar>
              <w:top w:w="150" w:type="dxa"/>
              <w:left w:w="240" w:type="dxa"/>
              <w:bottom w:w="150" w:type="dxa"/>
              <w:right w:w="240" w:type="dxa"/>
            </w:tcMar>
            <w:vAlign w:val="center"/>
          </w:tcPr>
          <w:p w14:paraId="7A6D70D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预测结合能 (kcal/mol)</w:t>
            </w:r>
          </w:p>
        </w:tc>
        <w:tc>
          <w:tcPr>
            <w:tcW w:w="0" w:type="auto"/>
            <w:tcBorders>
              <w:top w:val="nil"/>
            </w:tcBorders>
            <w:shd w:val="clear" w:color="auto" w:fill="auto"/>
            <w:tcMar>
              <w:top w:w="150" w:type="dxa"/>
              <w:left w:w="240" w:type="dxa"/>
              <w:bottom w:w="150" w:type="dxa"/>
              <w:right w:w="240" w:type="dxa"/>
            </w:tcMar>
            <w:vAlign w:val="center"/>
          </w:tcPr>
          <w:p w14:paraId="26BD131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类药性质 (SwissADME评估)</w:t>
            </w:r>
          </w:p>
        </w:tc>
      </w:tr>
      <w:tr w14:paraId="0F81B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10" w:type="dxa"/>
            <w:shd w:val="clear" w:color="auto" w:fill="auto"/>
            <w:tcMar>
              <w:top w:w="150" w:type="dxa"/>
              <w:left w:w="0" w:type="dxa"/>
              <w:bottom w:w="150" w:type="dxa"/>
              <w:right w:w="240" w:type="dxa"/>
            </w:tcMar>
            <w:vAlign w:val="center"/>
          </w:tcPr>
          <w:p w14:paraId="676D787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PubChemCID10176216</w:t>
            </w:r>
          </w:p>
        </w:tc>
        <w:tc>
          <w:tcPr>
            <w:tcW w:w="2035" w:type="dxa"/>
            <w:shd w:val="clear" w:color="auto" w:fill="auto"/>
            <w:tcMar>
              <w:top w:w="150" w:type="dxa"/>
              <w:left w:w="240" w:type="dxa"/>
              <w:bottom w:w="150" w:type="dxa"/>
              <w:right w:w="240" w:type="dxa"/>
            </w:tcMar>
            <w:vAlign w:val="center"/>
          </w:tcPr>
          <w:p w14:paraId="7AEC543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-9.3</w:t>
            </w:r>
          </w:p>
        </w:tc>
        <w:tc>
          <w:tcPr>
            <w:tcW w:w="0" w:type="auto"/>
            <w:shd w:val="clear" w:color="auto" w:fill="auto"/>
            <w:tcMar>
              <w:top w:w="150" w:type="dxa"/>
              <w:left w:w="240" w:type="dxa"/>
              <w:bottom w:w="150" w:type="dxa"/>
              <w:right w:w="0" w:type="dxa"/>
            </w:tcMar>
            <w:vAlign w:val="center"/>
          </w:tcPr>
          <w:p w14:paraId="34D4525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MW=307, LogP=2.5, 无明确毒性风险</w:t>
            </w:r>
          </w:p>
        </w:tc>
      </w:tr>
      <w:tr w14:paraId="1BEE2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10" w:type="dxa"/>
            <w:shd w:val="clear" w:color="auto" w:fill="auto"/>
            <w:tcMar>
              <w:top w:w="150" w:type="dxa"/>
              <w:left w:w="0" w:type="dxa"/>
              <w:bottom w:w="150" w:type="dxa"/>
              <w:right w:w="240" w:type="dxa"/>
            </w:tcMar>
            <w:vAlign w:val="center"/>
          </w:tcPr>
          <w:p w14:paraId="34E1EBB8">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ZINC000003954885</w:t>
            </w:r>
          </w:p>
        </w:tc>
        <w:tc>
          <w:tcPr>
            <w:tcW w:w="2035" w:type="dxa"/>
            <w:shd w:val="clear" w:color="auto" w:fill="auto"/>
            <w:tcMar>
              <w:top w:w="150" w:type="dxa"/>
              <w:left w:w="240" w:type="dxa"/>
              <w:bottom w:w="150" w:type="dxa"/>
              <w:right w:w="240" w:type="dxa"/>
            </w:tcMar>
            <w:vAlign w:val="center"/>
          </w:tcPr>
          <w:p w14:paraId="77A8F37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-7.47</w:t>
            </w:r>
          </w:p>
        </w:tc>
        <w:tc>
          <w:tcPr>
            <w:tcW w:w="0" w:type="auto"/>
            <w:shd w:val="clear" w:color="auto" w:fill="auto"/>
            <w:tcMar>
              <w:top w:w="150" w:type="dxa"/>
              <w:left w:w="240" w:type="dxa"/>
              <w:bottom w:w="150" w:type="dxa"/>
              <w:right w:w="0" w:type="dxa"/>
            </w:tcMar>
            <w:vAlign w:val="center"/>
          </w:tcPr>
          <w:p w14:paraId="5CCBA7B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MW=339, LogP=3.2, 无明确毒性风险</w:t>
            </w:r>
          </w:p>
        </w:tc>
      </w:tr>
    </w:tbl>
    <w:p w14:paraId="2579C9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其中，PubChemCID10176216的表现最为突出。其预测结合能最低，为-9.3 kcal/mol，这预示着它与KRAS G12D变构口袋之间可能存在很高的理论结合亲和力。进一步对其类药性质进行评估显示，其分子量（307 Da）和计算脂水分配系数（LogP=2.5）均符合Lipinski类药五规则的建议范围，暗示其可能具备良好的口服吸收潜力。利用SwissADME在线工具进行更全面的类药性预测，未发现该分子存在明显的毒性风险结构警报。这些计算药理学特性为其成为先导化合物提供了支持。</w:t>
      </w:r>
    </w:p>
    <w:p w14:paraId="19256A3E">
      <w:pPr>
        <w:pStyle w:val="2"/>
        <w:tabs>
          <w:tab w:val="left" w:pos="360"/>
        </w:tabs>
        <w:ind w:firstLine="482" w:firstLineChars="200"/>
        <w:jc w:val="left"/>
        <w:rPr>
          <w:rFonts w:hint="default" w:ascii="Times New Roman" w:hAnsi="Times New Roman"/>
          <w:b/>
          <w:sz w:val="24"/>
          <w:szCs w:val="24"/>
          <w:lang w:val="en-US" w:eastAsia="zh-CN"/>
        </w:rPr>
      </w:pPr>
      <w:r>
        <w:rPr>
          <w:rFonts w:hint="eastAsia" w:ascii="Times New Roman" w:hAnsi="Times New Roman"/>
          <w:b/>
          <w:sz w:val="24"/>
          <w:szCs w:val="24"/>
          <w:lang w:val="en-US" w:eastAsia="zh-CN"/>
        </w:rPr>
        <w:t>（五）</w:t>
      </w:r>
      <w:r>
        <w:rPr>
          <w:rFonts w:hint="default" w:ascii="Times New Roman" w:hAnsi="Times New Roman"/>
          <w:b/>
          <w:sz w:val="24"/>
          <w:szCs w:val="24"/>
          <w:lang w:val="en-US" w:eastAsia="zh-CN"/>
        </w:rPr>
        <w:t>最优候选分子结合模式的深入可视化分析</w:t>
      </w:r>
    </w:p>
    <w:p w14:paraId="4246C635">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为了从分子层面深入理解PubChemCID10176216与KRAS G12D的结合机制，我们使用PyMOL对其能量最优的对接构象进行了精细化的三维可视化分析。</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我们将对接生成的复合物PDBQT文件导入PyMOL。观察发现，该分子呈现出一种互补性的姿态，完整地嵌入到之前定义的变构口袋中。分子的疏水芳香环部分（来源于其结构中的苯环）深入到了由Tyr96、Leu104、Val108等残基侧链构成的疏水腔底部，形成了大面积的范德华接触，这种疏水相互作用为结合提供了重要的驱动力。</w:t>
      </w:r>
    </w:p>
    <w:p w14:paraId="51F033EA">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与此同时，分子另一端的极性官能团，特别是其酰胺键和羰基，精确地朝向口袋开口处的极性区域。通过PyMOL的测量工具，我们定量分析了关键原子间的距离。数据显示，配体中的一个羰基氧原子与Asp57侧链羧基的一个氧原子之间的距离约为2.1 Å。这个距离显著小于两者范德华半径之和，并且处于理想的氢键形成距离范围（通常为2.5-3.3 Å）的下限，这强有力地支持了二者之间存在一个较强的氢键相互作用。此外，配体分子中的其他极性原子（如另一个酰胺的N-H）与Gln61的侧链酰胺基团之间也形成了额外的氢键网络。这些特定的、定向的氢键相互作用，不仅贡献于结合亲和力，也极大地增强了结合的特异性。</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这些直观的三维结构观察结果，与我们基于口袋特征所提出的原始设计假设高度吻合。配体分子通过"疏水片段填充疏水腔"和"极性基团与Asp57、Gln61等形成氢键网络"的双重作用机制，被稳定地"锚定"在变构口袋内。对整个复合物结构的检查表明，该结合构象没有出现明显的、不利的原子重叠或立体冲突，配体与受体口袋在形状和化学性质上均表现出良好的互补性，这表明该预测的结合模式在立体化学和相互作用上是合理的。</w:t>
      </w:r>
    </w:p>
    <w:p w14:paraId="31CCCD60">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基于以上计算分析，我们得出结论，PubChemCID10176216是一个针对KRAS G12D变构口袋的、具有高潜力的先导化合物候选分子。其优越的预测结合能、合理的类药性质以及可视化的、与关键残基形成特异性相互作用的结合模式，共同支持其进入下一阶段的实验验证流程，这包括生化水平的热位移分析或表面等离子共振技术直接测定结合亲和力，以及细胞水平的功能试验以评估其对KRAS信号通路的抑制能力和抗增殖活性。</w:t>
      </w:r>
    </w:p>
    <w:p w14:paraId="6394FE98">
      <w:pPr>
        <w:autoSpaceDE w:val="0"/>
        <w:autoSpaceDN w:val="0"/>
        <w:spacing w:line="360" w:lineRule="auto"/>
        <w:ind w:firstLine="482" w:firstLineChars="200"/>
        <w:rPr>
          <w:rFonts w:hint="default" w:ascii="Times New Roman" w:hAnsi="Times New Roman" w:cs="Times New Roman"/>
          <w:b/>
          <w:bCs/>
          <w:sz w:val="24"/>
          <w:lang w:val="en-US" w:eastAsia="zh-CN"/>
        </w:rPr>
      </w:pPr>
      <w:r>
        <w:rPr>
          <w:rFonts w:hint="eastAsia" w:ascii="Times New Roman" w:hAnsi="Times New Roman" w:cs="Times New Roman"/>
          <w:b/>
          <w:bCs/>
          <w:sz w:val="24"/>
          <w:lang w:val="en-US" w:eastAsia="zh-CN"/>
        </w:rPr>
        <w:t>五、</w:t>
      </w:r>
      <w:r>
        <w:rPr>
          <w:rFonts w:hint="default" w:ascii="Times New Roman" w:hAnsi="Times New Roman" w:cs="Times New Roman"/>
          <w:b/>
          <w:bCs/>
          <w:sz w:val="24"/>
          <w:lang w:val="en-US" w:eastAsia="zh-CN"/>
        </w:rPr>
        <w:t>本章总结与工作流程展望</w:t>
      </w:r>
    </w:p>
    <w:p w14:paraId="051A9BCE">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本章节系统性地阐述并实践了一个从靶点结构解析到先导化合物初步识别的完整计算生物学研究流程。该流程始于对KRAS G12D这一特定靶点其生物学功能与临床未满足需求的深刻理解。在此基础上，我们充分利用了当前处于技术前沿的AlphaFold2蛋白质结构预测系统，成功获得了该突变体高精度的三维原子坐标模型，为后续所有分析奠定了可靠的结构基础。</w:t>
      </w:r>
    </w:p>
    <w:p w14:paraId="479B2892">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紧接着，通过运用PyMOL这一专业的分子可视化与分析工具，我们对预测结构进行了深入解析，成功定位并精细表征了位于开关II区与α3螺旋之间的变构口袋。这一步骤不仅明确了药物设计的空间靶标，还通过残基分析揭示了其关键的化学识别特征，即由Asp57、Gln61、Thr97等构成的极性作用区和由Tyr96、Leu104、Val108等构成的疏水作用区。这些信息直接转化为了指导配体设计的分子蓝图。</w:t>
      </w:r>
    </w:p>
    <w:p w14:paraId="70EBB3B3">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在明确靶标口袋特征后，我们运用AutoDock Vina分子对接程序，对一个根据口袋性质精心挑选的小型化合物库进行了虚拟筛选。通过对预测结合自由能和三维结合模式的综合评判，我们最终筛选出了结合模式合理、预测亲和力突出的先导化合物候选分子PubChemCID10176216，并对其与靶标之间的相互作用机制（特别是与Asp57的关键氢键）给出了基于结构的合理解释。</w:t>
      </w:r>
      <w:r>
        <w:rPr>
          <w:rFonts w:hint="default" w:ascii="Times New Roman" w:hAnsi="Times New Roman" w:eastAsia="宋体" w:cs="Times New Roman"/>
          <w:kern w:val="2"/>
          <w:sz w:val="24"/>
          <w:szCs w:val="24"/>
          <w:highlight w:val="none"/>
          <w:lang w:val="en-US" w:eastAsia="zh-CN" w:bidi="ar-SA"/>
        </w:rPr>
        <w:br w:type="textWrapping"/>
      </w:r>
      <w:r>
        <w:rPr>
          <w:rFonts w:hint="default" w:ascii="Times New Roman" w:hAnsi="Times New Roman" w:eastAsia="宋体" w:cs="Times New Roman"/>
          <w:kern w:val="2"/>
          <w:sz w:val="24"/>
          <w:szCs w:val="24"/>
          <w:highlight w:val="none"/>
          <w:lang w:val="en-US" w:eastAsia="zh-CN" w:bidi="ar-SA"/>
        </w:rPr>
        <w:t>本案例所系统展示的"靶标识别与验证 -&gt; 高精度结构预测 -&gt; 结合口袋精细分析 -&gt; 基于结构的虚拟筛选 -&gt; 结合模式可视化验证"这一系列步骤，构成了一个标准化、逻辑严谨且可复用的计算机辅助药物设计范式。该工作流的核心优势在于其强大的整合能力，它将生物信息学、计算结构生物学、计算机化学和药物设计原理有机地融为一体。</w:t>
      </w:r>
    </w:p>
    <w:p w14:paraId="7519D8BC">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2"/>
          <w:sz w:val="24"/>
          <w:szCs w:val="24"/>
          <w:highlight w:val="none"/>
          <w:lang w:val="en-US" w:eastAsia="zh-CN" w:bidi="ar-SA"/>
        </w:rPr>
      </w:pPr>
      <w:r>
        <w:rPr>
          <w:rFonts w:hint="default" w:ascii="Times New Roman" w:hAnsi="Times New Roman" w:eastAsia="宋体" w:cs="Times New Roman"/>
          <w:kern w:val="2"/>
          <w:sz w:val="24"/>
          <w:szCs w:val="24"/>
          <w:highlight w:val="none"/>
          <w:lang w:val="en-US" w:eastAsia="zh-CN" w:bidi="ar-SA"/>
        </w:rPr>
        <w:t>这一方法论的价值并不仅限于KRAS G12D这一特定难治靶点。其核心思想、技术选型和分析逻辑，同样可以有效地推广至其他疾病相关靶点的早期药物发现阶段，特别是对于那些实验结构获取困难或传统上被认为是"不可成药"的靶点（如蛋白-蛋白相互作用界面、某些转录因子等）。随着人工智能技术的持续进步，例如更精准的蛋白质动态构象预测、更快速的自由能计算方法以及更智能的分子生成模型的出现，以及全球计算资源的日益强大和易得，这类计算驱动的研究策略在创新药物研发管线中的地位将愈发重要。它们有望在临床前研究的更早阶段提供有价值的决策依据，从而显著加速候选药物的发现进程，并有效降低整体研发的成本与风险，最终为攻</w:t>
      </w:r>
      <w:bookmarkStart w:id="0" w:name="_GoBack"/>
      <w:bookmarkEnd w:id="0"/>
      <w:r>
        <w:rPr>
          <w:rFonts w:hint="default" w:ascii="Times New Roman" w:hAnsi="Times New Roman" w:eastAsia="宋体" w:cs="Times New Roman"/>
          <w:kern w:val="2"/>
          <w:sz w:val="24"/>
          <w:szCs w:val="24"/>
          <w:highlight w:val="none"/>
          <w:lang w:val="en-US" w:eastAsia="zh-CN" w:bidi="ar-SA"/>
        </w:rPr>
        <w:t>克更多人类重大疾病贡献计算智慧。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2353BA"/>
    <w:multiLevelType w:val="singleLevel"/>
    <w:tmpl w:val="2E2353BA"/>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46B4D"/>
    <w:rsid w:val="26091F46"/>
    <w:rsid w:val="34946B4D"/>
    <w:rsid w:val="453878C4"/>
    <w:rsid w:val="50C46DF7"/>
    <w:rsid w:val="5EC32908"/>
    <w:rsid w:val="68B45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line="360" w:lineRule="auto"/>
      <w:jc w:val="center"/>
      <w:outlineLvl w:val="0"/>
    </w:pPr>
    <w:rPr>
      <w:rFonts w:ascii="Arial" w:hAnsi="Arial" w:cs="Times New Roman"/>
      <w:bCs/>
      <w:kern w:val="44"/>
      <w:szCs w:val="48"/>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rPr>
      <w:sz w:val="24"/>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17202</Words>
  <Characters>21518</Characters>
  <Lines>0</Lines>
  <Paragraphs>0</Paragraphs>
  <TotalTime>48</TotalTime>
  <ScaleCrop>false</ScaleCrop>
  <LinksUpToDate>false</LinksUpToDate>
  <CharactersWithSpaces>21921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2025-10-14T06:31:00Z</dcterms:created>
  <dc:creator>lmy</dc:creator>
  <cp:lastModifiedBy>WPS_1569918887</cp:lastModifiedBy>
  <dcterms:modified xsi:type="dcterms:W3CDTF">2025-10-14T08:05:29Z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F29A163FA98D48B6961CC83AFF1744C8_13</vt:lpwstr>
  </property>
  <property fmtid="{D5CDD505-2E9C-101B-9397-08002B2CF9AE}" pid="4" name="KSOTemplateDocerSaveRecord">
    <vt:lpwstr>eyJoZGlkIjoiNDYxMWViODVhOWFlZGJmMjQ0NzFjNDkzNzI1Y2ZhZDIiLCJ1c2VySWQiOiI2NzkzMzM1MDAifQ==</vt:lpwstr>
  </property>
</Properties>
</file>