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1E314">
      <w:pPr>
        <w:pStyle w:val="3"/>
        <w:rPr>
          <w:rFonts w:ascii="Century Schoolbook" w:hAnsi="Century Schoolbook" w:eastAsiaTheme="majorEastAsia" w:cstheme="majorBidi"/>
          <w:sz w:val="22"/>
          <w:szCs w:val="22"/>
        </w:rPr>
      </w:pPr>
      <w:r>
        <w:rPr>
          <w:rFonts w:ascii="Century Schoolbook" w:hAnsi="Century Schoolbook" w:eastAsiaTheme="majorEastAsia" w:cstheme="majorBidi"/>
          <w:sz w:val="22"/>
          <w:szCs w:val="22"/>
        </w:rPr>
        <w:t>Isabella Kelly, Amr Hassan</w:t>
      </w:r>
    </w:p>
    <w:p w14:paraId="2D315341">
      <w:pPr>
        <w:pStyle w:val="3"/>
        <w:rPr>
          <w:rFonts w:ascii="Century Schoolbook" w:hAnsi="Century Schoolbook" w:eastAsiaTheme="majorEastAsia" w:cstheme="majorBidi"/>
          <w:sz w:val="22"/>
          <w:szCs w:val="22"/>
        </w:rPr>
      </w:pPr>
      <w:r>
        <w:rPr>
          <w:rFonts w:ascii="Century Schoolbook" w:hAnsi="Century Schoolbook" w:eastAsiaTheme="majorEastAsia" w:cstheme="majorBidi"/>
          <w:sz w:val="22"/>
          <w:szCs w:val="22"/>
        </w:rPr>
        <w:t>Professor Jean Marshall</w:t>
      </w:r>
    </w:p>
    <w:p w14:paraId="72629AE0">
      <w:pPr>
        <w:pStyle w:val="3"/>
        <w:rPr>
          <w:rFonts w:ascii="Century Schoolbook" w:hAnsi="Century Schoolbook" w:eastAsiaTheme="majorEastAsia" w:cstheme="majorBidi"/>
          <w:sz w:val="22"/>
          <w:szCs w:val="22"/>
        </w:rPr>
      </w:pPr>
      <w:r>
        <w:rPr>
          <w:rFonts w:ascii="Century Schoolbook" w:hAnsi="Century Schoolbook" w:eastAsiaTheme="majorEastAsia" w:cstheme="majorBidi"/>
          <w:sz w:val="22"/>
          <w:szCs w:val="22"/>
        </w:rPr>
        <w:t>SOCI 20112 1 (Spring 2026): Applications of Hierarchical Linear Models</w:t>
      </w:r>
    </w:p>
    <w:p w14:paraId="1C62C07C">
      <w:pPr>
        <w:pStyle w:val="3"/>
        <w:rPr>
          <w:rFonts w:ascii="Century Schoolbook" w:hAnsi="Century Schoolbook" w:eastAsiaTheme="majorEastAsia" w:cstheme="majorBidi"/>
          <w:sz w:val="22"/>
          <w:szCs w:val="22"/>
        </w:rPr>
      </w:pPr>
      <w:r>
        <w:rPr>
          <w:rFonts w:ascii="Century Schoolbook" w:hAnsi="Century Schoolbook" w:eastAsiaTheme="majorEastAsia" w:cstheme="majorBidi"/>
          <w:sz w:val="22"/>
          <w:szCs w:val="22"/>
        </w:rPr>
        <w:t>29 April 2026</w:t>
      </w:r>
    </w:p>
    <w:p w14:paraId="2DD763AB">
      <w:pPr>
        <w:pStyle w:val="3"/>
        <w:rPr>
          <w:rFonts w:ascii="Century Schoolbook" w:hAnsi="Century Schoolbook" w:eastAsiaTheme="majorEastAsia" w:cstheme="majorBidi"/>
          <w:sz w:val="22"/>
          <w:szCs w:val="22"/>
        </w:rPr>
      </w:pPr>
      <w:r>
        <w:rPr>
          <w:rFonts w:ascii="Century Schoolbook" w:hAnsi="Century Schoolbook" w:eastAsiaTheme="majorEastAsia" w:cstheme="majorBidi"/>
          <w:sz w:val="22"/>
          <w:szCs w:val="22"/>
        </w:rPr>
        <w:t>Due April 30, 2026 at 12:00PM</w:t>
      </w:r>
    </w:p>
    <w:p w14:paraId="19E1AF1F">
      <w:pPr>
        <w:pStyle w:val="3"/>
        <w:rPr>
          <w:rFonts w:ascii="Century Schoolbook" w:hAnsi="Century Schoolbook" w:eastAsiaTheme="majorEastAsia" w:cstheme="majorBidi"/>
          <w:sz w:val="22"/>
          <w:szCs w:val="22"/>
        </w:rPr>
      </w:pPr>
    </w:p>
    <w:p w14:paraId="7A5816BF">
      <w:pPr>
        <w:pStyle w:val="3"/>
        <w:ind w:left="-720"/>
        <w:rPr>
          <w:rFonts w:ascii="Century Schoolbook" w:hAnsi="Century Schoolbook"/>
          <w:b/>
          <w:bCs/>
          <w:sz w:val="22"/>
          <w:szCs w:val="22"/>
        </w:rPr>
      </w:pPr>
      <w:r>
        <w:rPr>
          <w:rFonts w:ascii="Century Schoolbook" w:hAnsi="Century Schoolbook"/>
          <w:b/>
          <w:bCs/>
          <w:sz w:val="22"/>
          <w:szCs w:val="22"/>
        </w:rPr>
        <w:t>Part A: Ethnic disparities in mathematics achievement growth and the contribution of school poverty concentration.</w:t>
      </w:r>
    </w:p>
    <w:p w14:paraId="584DF92C">
      <w:pPr>
        <w:pStyle w:val="3"/>
        <w:ind w:left="-720"/>
        <w:rPr>
          <w:rFonts w:ascii="Century Schoolbook" w:hAnsi="Century Schoolbook"/>
          <w:b/>
          <w:bCs/>
          <w:sz w:val="22"/>
          <w:szCs w:val="22"/>
        </w:rPr>
      </w:pPr>
    </w:p>
    <w:p w14:paraId="06C649CE">
      <w:pPr>
        <w:pStyle w:val="3"/>
        <w:ind w:left="-360" w:hanging="360"/>
        <w:rPr>
          <w:rFonts w:ascii="Century Schoolbook" w:hAnsi="Century Schoolbook"/>
          <w:b/>
          <w:bCs/>
          <w:sz w:val="22"/>
          <w:szCs w:val="22"/>
        </w:rPr>
      </w:pPr>
      <w:r>
        <w:rPr>
          <w:rFonts w:ascii="Century Schoolbook" w:hAnsi="Century Schoolbook"/>
          <w:b/>
          <w:bCs/>
          <w:sz w:val="22"/>
          <w:szCs w:val="22"/>
        </w:rPr>
        <w:t>1.</w:t>
      </w:r>
      <w:r>
        <w:rPr>
          <w:rFonts w:ascii="Century Schoolbook" w:hAnsi="Century Schoolbook"/>
          <w:b/>
          <w:bCs/>
          <w:sz w:val="22"/>
          <w:szCs w:val="22"/>
        </w:rPr>
        <w:tab/>
      </w:r>
      <w:r>
        <w:rPr>
          <w:rFonts w:ascii="Century Schoolbook" w:hAnsi="Century Schoolbook"/>
          <w:b/>
          <w:bCs/>
          <w:sz w:val="22"/>
          <w:szCs w:val="22"/>
        </w:rPr>
        <w:t>Write down the model at each level and define terms in the model.</w:t>
      </w:r>
    </w:p>
    <w:p w14:paraId="52D2E746">
      <w:pPr>
        <w:pStyle w:val="3"/>
        <w:ind w:left="-360" w:hanging="360"/>
        <w:rPr>
          <w:rFonts w:ascii="Century Schoolbook" w:hAnsi="Century Schoolbook"/>
          <w:i/>
          <w:iCs/>
          <w:sz w:val="22"/>
          <w:szCs w:val="22"/>
        </w:rPr>
      </w:pPr>
      <w:r>
        <w:rPr>
          <w:rFonts w:ascii="Century Schoolbook" w:hAnsi="Century Schoolbook"/>
          <w:i/>
          <w:iCs/>
          <w:sz w:val="22"/>
          <w:szCs w:val="22"/>
        </w:rPr>
        <w:t xml:space="preserve">Level One Model: </w:t>
      </w:r>
    </w:p>
    <w:p w14:paraId="72AD93DB">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MATH</m:t>
              </m:r>
              <m:ctrlPr>
                <w:rPr>
                  <w:rFonts w:ascii="Cambria Math" w:hAnsi="Cambria Math"/>
                  <w:sz w:val="22"/>
                  <w:szCs w:val="22"/>
                </w:rPr>
              </m:ctrlPr>
            </m:e>
            <m:sub>
              <m:r>
                <m:rPr/>
                <w:rPr>
                  <w:rFonts w:ascii="Cambria Math" w:hAnsi="Cambria Math"/>
                  <w:sz w:val="22"/>
                  <w:szCs w:val="22"/>
                </w:rPr>
                <m:t>tij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0ij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1ij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YEAR</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2i</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YEARSQ</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e</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oMath>
      </m:oMathPara>
    </w:p>
    <w:p w14:paraId="55986F56">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 xml:space="preserve">The Level One model shows each student’s math achievement trajectory over time as a quadratic growth curve. </w:t>
      </w:r>
    </w:p>
    <w:p w14:paraId="01F276FA">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MATH</m:t>
            </m:r>
            <m:ctrlPr>
              <w:rPr>
                <w:rFonts w:ascii="Cambria Math" w:hAnsi="Cambria Math"/>
                <w:sz w:val="22"/>
                <w:szCs w:val="22"/>
              </w:rPr>
            </m:ctrlPr>
          </m:e>
          <m:sub>
            <m:r>
              <m:rPr/>
              <w:rPr>
                <w:rFonts w:ascii="Cambria Math" w:hAnsi="Cambria Math"/>
                <w:sz w:val="22"/>
                <w:szCs w:val="22"/>
              </w:rPr>
              <m:t>tij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math achievement score for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 xml:space="preserve">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at time </w:t>
      </w:r>
      <w:r>
        <w:rPr>
          <w:rFonts w:ascii="Century Schoolbook" w:hAnsi="Century Schoolbook" w:eastAsiaTheme="minorEastAsia"/>
          <w:sz w:val="22"/>
          <w:szCs w:val="22"/>
          <w:vertAlign w:val="subscript"/>
        </w:rPr>
        <w:t>t</w:t>
      </w:r>
      <w:r>
        <w:rPr>
          <w:rFonts w:ascii="Century Schoolbook" w:hAnsi="Century Schoolbook" w:eastAsiaTheme="minorEastAsia"/>
          <w:sz w:val="22"/>
          <w:szCs w:val="22"/>
        </w:rPr>
        <w:t xml:space="preserve"> .</w:t>
      </w:r>
    </w:p>
    <w:p w14:paraId="30998F7C">
      <w:pPr>
        <w:pStyle w:val="50"/>
        <w:shd w:val="clear" w:color="auto" w:fill="FFFFFF" w:themeFill="background1"/>
        <w:rPr>
          <w:rFonts w:ascii="Century Schoolbook" w:hAnsi="Century Schoolbook" w:eastAsiaTheme="minorEastAsia"/>
          <w:sz w:val="22"/>
          <w:szCs w:val="22"/>
          <w:vertAlign w:val="subscript"/>
        </w:rPr>
      </w:pPr>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0ij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math achievement score for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 xml:space="preserve">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in the spring of first grade. </w:t>
      </w:r>
      <w:r>
        <w:rPr>
          <w:rFonts w:ascii="Century Schoolbook" w:hAnsi="Century Schoolbook" w:eastAsiaTheme="minorEastAsia"/>
          <w:sz w:val="22"/>
          <w:szCs w:val="22"/>
          <w:highlight w:val="yellow"/>
        </w:rPr>
        <w:t xml:space="preserve">In other words, this variable shows the initial status of child </w:t>
      </w:r>
      <w:r>
        <w:rPr>
          <w:rFonts w:ascii="Century Schoolbook" w:hAnsi="Century Schoolbook" w:eastAsiaTheme="minorEastAsia"/>
          <w:sz w:val="22"/>
          <w:szCs w:val="22"/>
          <w:highlight w:val="yellow"/>
          <w:vertAlign w:val="subscript"/>
        </w:rPr>
        <w:t xml:space="preserve">i </w:t>
      </w:r>
      <w:r>
        <w:rPr>
          <w:rFonts w:ascii="Century Schoolbook" w:hAnsi="Century Schoolbook" w:eastAsiaTheme="minorEastAsia"/>
          <w:sz w:val="22"/>
          <w:szCs w:val="22"/>
          <w:highlight w:val="yellow"/>
        </w:rPr>
        <w:t xml:space="preserve">in school </w:t>
      </w:r>
      <w:r>
        <w:rPr>
          <w:rFonts w:ascii="Century Schoolbook" w:hAnsi="Century Schoolbook" w:eastAsiaTheme="minorEastAsia"/>
          <w:sz w:val="22"/>
          <w:szCs w:val="22"/>
          <w:highlight w:val="yellow"/>
          <w:vertAlign w:val="subscript"/>
        </w:rPr>
        <w:t>j</w:t>
      </w:r>
      <w:r>
        <w:rPr>
          <w:rFonts w:ascii="Century Schoolbook" w:hAnsi="Century Schoolbook" w:eastAsiaTheme="minorEastAsia"/>
          <w:sz w:val="22"/>
          <w:szCs w:val="22"/>
          <w:highlight w:val="yellow"/>
        </w:rPr>
        <w:t>.</w:t>
      </w:r>
    </w:p>
    <w:p w14:paraId="015A99AB">
      <w:pPr>
        <w:pStyle w:val="50"/>
        <w:shd w:val="clear" w:color="auto" w:fill="FFFFFF" w:themeFill="background1"/>
        <w:rPr>
          <w:rFonts w:ascii="Century Schoolbook" w:hAnsi="Century Schoolbook" w:eastAsiaTheme="minorEastAsia"/>
          <w:sz w:val="22"/>
          <w:szCs w:val="22"/>
          <w:vertAlign w:val="subscript"/>
        </w:rPr>
      </w:pPr>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1ij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linear growth rate in math achievement for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 xml:space="preserve">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in the spring of first grade. </w:t>
      </w:r>
    </w:p>
    <w:p w14:paraId="0BC5D87E">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YEAR</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oMath>
      <w:r>
        <w:rPr>
          <w:rFonts w:ascii="Century Schoolbook" w:hAnsi="Century Schoolbook" w:eastAsiaTheme="minorEastAsia"/>
          <w:sz w:val="22"/>
          <w:szCs w:val="22"/>
        </w:rPr>
        <w:t xml:space="preserve"> shows the year centered at the spring of 1st grade.</w:t>
      </w:r>
    </w:p>
    <w:p w14:paraId="715A2164">
      <w:pPr>
        <w:pStyle w:val="50"/>
        <w:shd w:val="clear" w:color="auto" w:fill="FFFFFF" w:themeFill="background1"/>
        <w:rPr>
          <w:rFonts w:ascii="Century Schoolbook" w:hAnsi="Century Schoolbook"/>
          <w:sz w:val="22"/>
          <w:szCs w:val="22"/>
        </w:rPr>
      </w:pPr>
      <m:oMath>
        <m:sSub>
          <m:sSubPr>
            <m:ctrlPr>
              <w:rPr>
                <w:rFonts w:ascii="Cambria Math" w:hAnsi="Cambria Math"/>
                <w:sz w:val="22"/>
                <w:szCs w:val="22"/>
                <w:highlight w:val="yellow"/>
              </w:rPr>
            </m:ctrlPr>
          </m:sSubPr>
          <m:e>
            <m:r>
              <m:rPr/>
              <w:rPr>
                <w:rFonts w:ascii="Cambria Math" w:hAnsi="Cambria Math"/>
                <w:sz w:val="22"/>
                <w:szCs w:val="22"/>
                <w:highlight w:val="yellow"/>
              </w:rPr>
              <m:t>π</m:t>
            </m:r>
            <m:ctrlPr>
              <w:rPr>
                <w:rFonts w:ascii="Cambria Math" w:hAnsi="Cambria Math"/>
                <w:sz w:val="22"/>
                <w:szCs w:val="22"/>
                <w:highlight w:val="yellow"/>
              </w:rPr>
            </m:ctrlPr>
          </m:e>
          <m:sub>
            <m:r>
              <m:rPr/>
              <w:rPr>
                <w:rFonts w:ascii="Cambria Math" w:hAnsi="Cambria Math"/>
                <w:sz w:val="22"/>
                <w:szCs w:val="22"/>
                <w:highlight w:val="yellow"/>
              </w:rPr>
              <m:t>1ij</m:t>
            </m:r>
            <m:ctrlPr>
              <w:rPr>
                <w:rFonts w:ascii="Cambria Math" w:hAnsi="Cambria Math"/>
                <w:sz w:val="22"/>
                <w:szCs w:val="22"/>
                <w:highlight w:val="yellow"/>
              </w:rPr>
            </m:ctrlPr>
          </m:sub>
        </m:sSub>
        <m:r>
          <m:rPr/>
          <w:rPr>
            <w:rFonts w:ascii="Cambria Math" w:hAnsi="Cambria Math"/>
            <w:sz w:val="22"/>
            <w:szCs w:val="22"/>
            <w:highlight w:val="yellow"/>
          </w:rPr>
          <m:t>∗</m:t>
        </m:r>
        <m:d>
          <m:dPr>
            <m:ctrlPr>
              <w:rPr>
                <w:rFonts w:ascii="Cambria Math" w:hAnsi="Cambria Math"/>
                <w:i/>
                <w:sz w:val="22"/>
                <w:szCs w:val="22"/>
                <w:highlight w:val="yellow"/>
              </w:rPr>
            </m:ctrlPr>
          </m:dPr>
          <m:e>
            <m:sSub>
              <m:sSubPr>
                <m:ctrlPr>
                  <w:rPr>
                    <w:rFonts w:ascii="Cambria Math" w:hAnsi="Cambria Math"/>
                    <w:i/>
                    <w:sz w:val="22"/>
                    <w:szCs w:val="22"/>
                    <w:highlight w:val="yellow"/>
                  </w:rPr>
                </m:ctrlPr>
              </m:sSubPr>
              <m:e>
                <m:r>
                  <m:rPr/>
                  <w:rPr>
                    <w:rFonts w:ascii="Cambria Math" w:hAnsi="Cambria Math"/>
                    <w:sz w:val="22"/>
                    <w:szCs w:val="22"/>
                    <w:highlight w:val="yellow"/>
                  </w:rPr>
                  <m:t>YEAR</m:t>
                </m:r>
                <m:ctrlPr>
                  <w:rPr>
                    <w:rFonts w:ascii="Cambria Math" w:hAnsi="Cambria Math"/>
                    <w:i/>
                    <w:sz w:val="22"/>
                    <w:szCs w:val="22"/>
                    <w:highlight w:val="yellow"/>
                  </w:rPr>
                </m:ctrlPr>
              </m:e>
              <m:sub>
                <m:r>
                  <m:rPr/>
                  <w:rPr>
                    <w:rFonts w:ascii="Cambria Math" w:hAnsi="Cambria Math"/>
                    <w:sz w:val="22"/>
                    <w:szCs w:val="22"/>
                    <w:highlight w:val="yellow"/>
                  </w:rPr>
                  <m:t>tij</m:t>
                </m:r>
                <m:ctrlPr>
                  <w:rPr>
                    <w:rFonts w:ascii="Cambria Math" w:hAnsi="Cambria Math"/>
                    <w:i/>
                    <w:sz w:val="22"/>
                    <w:szCs w:val="22"/>
                    <w:highlight w:val="yellow"/>
                  </w:rPr>
                </m:ctrlPr>
              </m:sub>
            </m:sSub>
            <m:ctrlPr>
              <w:rPr>
                <w:rFonts w:ascii="Cambria Math" w:hAnsi="Cambria Math"/>
                <w:i/>
                <w:sz w:val="22"/>
                <w:szCs w:val="22"/>
                <w:highlight w:val="yellow"/>
              </w:rPr>
            </m:ctrlPr>
          </m:e>
        </m:d>
      </m:oMath>
      <w:r>
        <w:rPr>
          <w:rFonts w:ascii="Century Schoolbook" w:hAnsi="Century Schoolbook" w:eastAsiaTheme="minorEastAsia"/>
          <w:sz w:val="22"/>
          <w:szCs w:val="22"/>
          <w:highlight w:val="yellow"/>
        </w:rPr>
        <w:t xml:space="preserve"> shows the instantaneous growth rate at the time of spring of 1st grade for child </w:t>
      </w:r>
      <w:r>
        <w:rPr>
          <w:rFonts w:ascii="Century Schoolbook" w:hAnsi="Century Schoolbook" w:eastAsiaTheme="minorEastAsia"/>
          <w:sz w:val="22"/>
          <w:szCs w:val="22"/>
          <w:highlight w:val="yellow"/>
          <w:vertAlign w:val="subscript"/>
        </w:rPr>
        <w:t xml:space="preserve">i </w:t>
      </w:r>
      <w:r>
        <w:rPr>
          <w:rFonts w:ascii="Century Schoolbook" w:hAnsi="Century Schoolbook" w:eastAsiaTheme="minorEastAsia"/>
          <w:sz w:val="22"/>
          <w:szCs w:val="22"/>
          <w:highlight w:val="yellow"/>
        </w:rPr>
        <w:t xml:space="preserve">in school </w:t>
      </w:r>
      <w:r>
        <w:rPr>
          <w:rFonts w:ascii="Century Schoolbook" w:hAnsi="Century Schoolbook" w:eastAsiaTheme="minorEastAsia"/>
          <w:sz w:val="22"/>
          <w:szCs w:val="22"/>
          <w:highlight w:val="yellow"/>
          <w:vertAlign w:val="subscript"/>
        </w:rPr>
        <w:t>j</w:t>
      </w:r>
      <w:r>
        <w:rPr>
          <w:rFonts w:ascii="Century Schoolbook" w:hAnsi="Century Schoolbook" w:eastAsiaTheme="minorEastAsia"/>
          <w:sz w:val="22"/>
          <w:szCs w:val="22"/>
          <w:highlight w:val="yellow"/>
        </w:rPr>
        <w:t>.</w:t>
      </w:r>
    </w:p>
    <w:p w14:paraId="400F030F">
      <w:pPr>
        <w:pStyle w:val="50"/>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2i</m:t>
            </m:r>
            <m:ctrlPr>
              <w:rPr>
                <w:rFonts w:ascii="Cambria Math" w:hAnsi="Cambria Math"/>
                <w:sz w:val="22"/>
                <w:szCs w:val="22"/>
              </w:rPr>
            </m:ctrlPr>
          </m:sub>
        </m:sSub>
      </m:oMath>
      <w:r>
        <w:rPr>
          <w:rFonts w:ascii="Century Schoolbook" w:hAnsi="Century Schoolbook" w:eastAsiaTheme="minorEastAsia"/>
          <w:sz w:val="22"/>
          <w:szCs w:val="22"/>
        </w:rPr>
        <w:t xml:space="preserve"> shows the quadratic growth rate for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 xml:space="preserve">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 In other words, this estimate shows whether the student’s growth in their math achievement score accelerates or decelerates over time. </w:t>
      </w:r>
    </w:p>
    <w:p w14:paraId="1AF53F04">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YEARSQ</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oMath>
      <w:r>
        <w:rPr>
          <w:rFonts w:ascii="Century Schoolbook" w:hAnsi="Century Schoolbook" w:eastAsiaTheme="minorEastAsia"/>
          <w:sz w:val="22"/>
          <w:szCs w:val="22"/>
        </w:rPr>
        <w:t xml:space="preserve"> shows the squared time variable.</w:t>
      </w:r>
    </w:p>
    <w:p w14:paraId="68D8F522">
      <w:pPr>
        <w:pStyle w:val="50"/>
        <w:shd w:val="clear" w:color="auto" w:fill="FFFFFF" w:themeFill="background1"/>
        <w:rPr>
          <w:rFonts w:ascii="Century Schoolbook" w:hAnsi="Century Schoolbook"/>
          <w:sz w:val="22"/>
          <w:szCs w:val="22"/>
        </w:rPr>
      </w:pPr>
      <m:oMath>
        <m:sSub>
          <m:sSubPr>
            <m:ctrlPr>
              <w:rPr>
                <w:rFonts w:ascii="Cambria Math" w:hAnsi="Cambria Math"/>
                <w:sz w:val="22"/>
                <w:szCs w:val="22"/>
                <w:highlight w:val="yellow"/>
              </w:rPr>
            </m:ctrlPr>
          </m:sSubPr>
          <m:e>
            <m:r>
              <m:rPr/>
              <w:rPr>
                <w:rFonts w:ascii="Cambria Math" w:hAnsi="Cambria Math"/>
                <w:sz w:val="22"/>
                <w:szCs w:val="22"/>
                <w:highlight w:val="yellow"/>
              </w:rPr>
              <m:t>π</m:t>
            </m:r>
            <m:ctrlPr>
              <w:rPr>
                <w:rFonts w:ascii="Cambria Math" w:hAnsi="Cambria Math"/>
                <w:sz w:val="22"/>
                <w:szCs w:val="22"/>
                <w:highlight w:val="yellow"/>
              </w:rPr>
            </m:ctrlPr>
          </m:e>
          <m:sub>
            <m:r>
              <m:rPr/>
              <w:rPr>
                <w:rFonts w:ascii="Cambria Math" w:hAnsi="Cambria Math"/>
                <w:sz w:val="22"/>
                <w:szCs w:val="22"/>
                <w:highlight w:val="yellow"/>
              </w:rPr>
              <m:t>2i</m:t>
            </m:r>
            <m:ctrlPr>
              <w:rPr>
                <w:rFonts w:ascii="Cambria Math" w:hAnsi="Cambria Math"/>
                <w:sz w:val="22"/>
                <w:szCs w:val="22"/>
                <w:highlight w:val="yellow"/>
              </w:rPr>
            </m:ctrlPr>
          </m:sub>
        </m:sSub>
        <m:r>
          <m:rPr/>
          <w:rPr>
            <w:rFonts w:ascii="Cambria Math" w:hAnsi="Cambria Math"/>
            <w:sz w:val="22"/>
            <w:szCs w:val="22"/>
            <w:highlight w:val="yellow"/>
          </w:rPr>
          <m:t>∗</m:t>
        </m:r>
        <m:d>
          <m:dPr>
            <m:ctrlPr>
              <w:rPr>
                <w:rFonts w:ascii="Cambria Math" w:hAnsi="Cambria Math"/>
                <w:i/>
                <w:sz w:val="22"/>
                <w:szCs w:val="22"/>
                <w:highlight w:val="yellow"/>
              </w:rPr>
            </m:ctrlPr>
          </m:dPr>
          <m:e>
            <m:sSub>
              <m:sSubPr>
                <m:ctrlPr>
                  <w:rPr>
                    <w:rFonts w:ascii="Cambria Math" w:hAnsi="Cambria Math"/>
                    <w:i/>
                    <w:sz w:val="22"/>
                    <w:szCs w:val="22"/>
                    <w:highlight w:val="yellow"/>
                  </w:rPr>
                </m:ctrlPr>
              </m:sSubPr>
              <m:e>
                <m:r>
                  <m:rPr/>
                  <w:rPr>
                    <w:rFonts w:ascii="Cambria Math" w:hAnsi="Cambria Math"/>
                    <w:sz w:val="22"/>
                    <w:szCs w:val="22"/>
                    <w:highlight w:val="yellow"/>
                  </w:rPr>
                  <m:t>YEARSQ</m:t>
                </m:r>
                <m:ctrlPr>
                  <w:rPr>
                    <w:rFonts w:ascii="Cambria Math" w:hAnsi="Cambria Math"/>
                    <w:i/>
                    <w:sz w:val="22"/>
                    <w:szCs w:val="22"/>
                    <w:highlight w:val="yellow"/>
                  </w:rPr>
                </m:ctrlPr>
              </m:e>
              <m:sub>
                <m:r>
                  <m:rPr/>
                  <w:rPr>
                    <w:rFonts w:ascii="Cambria Math" w:hAnsi="Cambria Math"/>
                    <w:sz w:val="22"/>
                    <w:szCs w:val="22"/>
                    <w:highlight w:val="yellow"/>
                  </w:rPr>
                  <m:t>tij</m:t>
                </m:r>
                <m:ctrlPr>
                  <w:rPr>
                    <w:rFonts w:ascii="Cambria Math" w:hAnsi="Cambria Math"/>
                    <w:i/>
                    <w:sz w:val="22"/>
                    <w:szCs w:val="22"/>
                    <w:highlight w:val="yellow"/>
                  </w:rPr>
                </m:ctrlPr>
              </m:sub>
            </m:sSub>
            <m:ctrlPr>
              <w:rPr>
                <w:rFonts w:ascii="Cambria Math" w:hAnsi="Cambria Math"/>
                <w:i/>
                <w:sz w:val="22"/>
                <w:szCs w:val="22"/>
                <w:highlight w:val="yellow"/>
              </w:rPr>
            </m:ctrlPr>
          </m:e>
        </m:d>
      </m:oMath>
      <w:r>
        <w:rPr>
          <w:rFonts w:ascii="Century Schoolbook" w:hAnsi="Century Schoolbook" w:eastAsiaTheme="minorEastAsia"/>
          <w:sz w:val="22"/>
          <w:szCs w:val="22"/>
          <w:highlight w:val="yellow"/>
        </w:rPr>
        <w:t xml:space="preserve"> shows the non-linear or quadratic change in growth trajectory in the model.</w:t>
      </w:r>
      <w:r>
        <w:rPr>
          <w:rFonts w:ascii="Century Schoolbook" w:hAnsi="Century Schoolbook" w:eastAsiaTheme="minorEastAsia"/>
          <w:sz w:val="22"/>
          <w:szCs w:val="22"/>
        </w:rPr>
        <w:t xml:space="preserve">  </w:t>
      </w:r>
    </w:p>
    <w:p w14:paraId="4B00A003">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e</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oMath>
      <w:r>
        <w:rPr>
          <w:rFonts w:ascii="Century Schoolbook" w:hAnsi="Century Schoolbook" w:eastAsiaTheme="minorEastAsia"/>
          <w:sz w:val="22"/>
          <w:szCs w:val="22"/>
        </w:rPr>
        <w:t xml:space="preserve"> is a </w:t>
      </w:r>
      <w:r>
        <w:rPr>
          <w:rFonts w:ascii="Century Schoolbook" w:hAnsi="Century Schoolbook" w:eastAsiaTheme="minorEastAsia"/>
          <w:sz w:val="22"/>
          <w:szCs w:val="22"/>
          <w:highlight w:val="yellow"/>
        </w:rPr>
        <w:t>level-1 random effect that represents the deviation of growth trajectories across different time points from the predicted score based on the level-1 model.</w:t>
      </w:r>
      <w:r>
        <w:rPr>
          <w:rFonts w:ascii="Century Schoolbook" w:hAnsi="Century Schoolbook" w:eastAsiaTheme="minorEastAsia"/>
          <w:sz w:val="22"/>
          <w:szCs w:val="22"/>
        </w:rPr>
        <w:t xml:space="preserve"> In other words, this estimate shows the difference between the student’s observed math achievement score at at time </w:t>
      </w:r>
      <w:r>
        <w:rPr>
          <w:rFonts w:ascii="Century Schoolbook" w:hAnsi="Century Schoolbook" w:eastAsiaTheme="minorEastAsia"/>
          <w:sz w:val="22"/>
          <w:szCs w:val="22"/>
          <w:vertAlign w:val="subscript"/>
        </w:rPr>
        <w:t>t</w:t>
      </w:r>
      <w:r>
        <w:rPr>
          <w:rFonts w:ascii="Century Schoolbook" w:hAnsi="Century Schoolbook" w:eastAsiaTheme="minorEastAsia"/>
          <w:sz w:val="22"/>
          <w:szCs w:val="22"/>
        </w:rPr>
        <w:t xml:space="preserve"> and what the model actually predicted. </w:t>
      </w:r>
      <w:r>
        <w:rPr>
          <w:rFonts w:ascii="Century Schoolbook" w:hAnsi="Century Schoolbook" w:eastAsiaTheme="minorEastAsia"/>
          <w:sz w:val="22"/>
          <w:szCs w:val="22"/>
          <w:highlight w:val="yellow"/>
        </w:rPr>
        <w:t>Assumed normally distributed, with a mean of 0 and a variance.</w:t>
      </w:r>
    </w:p>
    <w:p w14:paraId="375174F5">
      <w:pPr>
        <w:pStyle w:val="50"/>
        <w:shd w:val="clear" w:color="auto" w:fill="FFFFFF" w:themeFill="background1"/>
        <w:rPr>
          <w:rFonts w:ascii="Century Schoolbook" w:hAnsi="Century Schoolbook"/>
          <w:sz w:val="22"/>
          <w:szCs w:val="22"/>
        </w:rPr>
      </w:pPr>
    </w:p>
    <w:p w14:paraId="720EBA41">
      <w:pPr>
        <w:pStyle w:val="3"/>
        <w:ind w:left="-360" w:hanging="360"/>
        <w:rPr>
          <w:rFonts w:ascii="Century Schoolbook" w:hAnsi="Century Schoolbook"/>
          <w:i/>
          <w:iCs/>
          <w:sz w:val="22"/>
          <w:szCs w:val="22"/>
        </w:rPr>
      </w:pPr>
      <w:r>
        <w:rPr>
          <w:rFonts w:ascii="Century Schoolbook" w:hAnsi="Century Schoolbook"/>
          <w:i/>
          <w:iCs/>
          <w:sz w:val="22"/>
          <w:szCs w:val="22"/>
        </w:rPr>
        <w:t xml:space="preserve">Level Two Model: </w:t>
      </w:r>
    </w:p>
    <w:p w14:paraId="3A0C34FE">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0ij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0ij</m:t>
              </m:r>
              <m:ctrlPr>
                <w:rPr>
                  <w:rFonts w:ascii="Cambria Math" w:hAnsi="Cambria Math"/>
                  <w:i/>
                  <w:sz w:val="22"/>
                  <w:szCs w:val="22"/>
                </w:rPr>
              </m:ctrlPr>
            </m:sub>
          </m:sSub>
        </m:oMath>
      </m:oMathPara>
    </w:p>
    <w:p w14:paraId="3174D26F">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1ij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1ij</m:t>
              </m:r>
              <m:ctrlPr>
                <w:rPr>
                  <w:rFonts w:ascii="Cambria Math" w:hAnsi="Cambria Math"/>
                  <w:i/>
                  <w:sz w:val="22"/>
                  <w:szCs w:val="22"/>
                </w:rPr>
              </m:ctrlPr>
            </m:sub>
          </m:sSub>
        </m:oMath>
      </m:oMathPara>
    </w:p>
    <w:p w14:paraId="5D00C37D">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2ij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2ij</m:t>
              </m:r>
              <m:ctrlPr>
                <w:rPr>
                  <w:rFonts w:ascii="Cambria Math" w:hAnsi="Cambria Math"/>
                  <w:i/>
                  <w:sz w:val="22"/>
                  <w:szCs w:val="22"/>
                </w:rPr>
              </m:ctrlPr>
            </m:sub>
          </m:sSub>
        </m:oMath>
      </m:oMathPara>
    </w:p>
    <w:p w14:paraId="5AF22C5D">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The Level Two model shows how each student’s math achievement trajectory varies as a function of ethnicity.</w:t>
      </w:r>
    </w:p>
    <w:p w14:paraId="796EAC93">
      <w:pPr>
        <w:pStyle w:val="50"/>
        <w:shd w:val="clear" w:color="auto" w:fill="FFFFFF" w:themeFill="background1"/>
        <w:rPr>
          <w:rFonts w:ascii="Century Schoolbook" w:hAnsi="Century Schoolbook" w:eastAsiaTheme="minorEastAsia"/>
          <w:sz w:val="22"/>
          <w:szCs w:val="22"/>
          <w:vertAlign w:val="subscript"/>
        </w:rPr>
      </w:pPr>
      <m:oMath>
        <m:sSub>
          <m:sSubPr>
            <m:ctrlPr>
              <w:rPr>
                <w:rFonts w:ascii="Cambria Math" w:hAnsi="Cambria Math"/>
                <w:sz w:val="22"/>
                <w:szCs w:val="22"/>
                <w:highlight w:val="yellow"/>
              </w:rPr>
            </m:ctrlPr>
          </m:sSubPr>
          <m:e>
            <m:r>
              <m:rPr/>
              <w:rPr>
                <w:rFonts w:ascii="Cambria Math" w:hAnsi="Cambria Math"/>
                <w:sz w:val="22"/>
                <w:szCs w:val="22"/>
                <w:highlight w:val="yellow"/>
              </w:rPr>
              <m:t>π</m:t>
            </m:r>
            <m:ctrlPr>
              <w:rPr>
                <w:rFonts w:ascii="Cambria Math" w:hAnsi="Cambria Math"/>
                <w:sz w:val="22"/>
                <w:szCs w:val="22"/>
                <w:highlight w:val="yellow"/>
              </w:rPr>
            </m:ctrlPr>
          </m:e>
          <m:sub>
            <m:r>
              <m:rPr/>
              <w:rPr>
                <w:rFonts w:ascii="Cambria Math" w:hAnsi="Cambria Math"/>
                <w:sz w:val="22"/>
                <w:szCs w:val="22"/>
                <w:highlight w:val="yellow"/>
              </w:rPr>
              <m:t>0ij</m:t>
            </m:r>
            <m:ctrlPr>
              <w:rPr>
                <w:rFonts w:ascii="Cambria Math" w:hAnsi="Cambria Math"/>
                <w:sz w:val="22"/>
                <w:szCs w:val="22"/>
                <w:highlight w:val="yellow"/>
              </w:rPr>
            </m:ctrlPr>
          </m:sub>
        </m:sSub>
      </m:oMath>
      <w:r>
        <w:rPr>
          <w:rFonts w:ascii="Century Schoolbook" w:hAnsi="Century Schoolbook" w:eastAsiaTheme="minorEastAsia"/>
          <w:sz w:val="22"/>
          <w:szCs w:val="22"/>
          <w:highlight w:val="yellow"/>
        </w:rPr>
        <w:t>/</w:t>
      </w:r>
      <m:oMath>
        <m:sSub>
          <m:sSubPr>
            <m:ctrlPr>
              <w:rPr>
                <w:rFonts w:ascii="Cambria Math" w:hAnsi="Cambria Math"/>
                <w:sz w:val="22"/>
                <w:szCs w:val="22"/>
                <w:highlight w:val="yellow"/>
              </w:rPr>
            </m:ctrlPr>
          </m:sSubPr>
          <m:e>
            <m:r>
              <m:rPr/>
              <w:rPr>
                <w:rFonts w:ascii="Cambria Math" w:hAnsi="Cambria Math"/>
                <w:sz w:val="22"/>
                <w:szCs w:val="22"/>
                <w:highlight w:val="yellow"/>
              </w:rPr>
              <m:t>π</m:t>
            </m:r>
            <m:ctrlPr>
              <w:rPr>
                <w:rFonts w:ascii="Cambria Math" w:hAnsi="Cambria Math"/>
                <w:sz w:val="22"/>
                <w:szCs w:val="22"/>
                <w:highlight w:val="yellow"/>
              </w:rPr>
            </m:ctrlPr>
          </m:e>
          <m:sub>
            <m:r>
              <m:rPr/>
              <w:rPr>
                <w:rFonts w:ascii="Cambria Math" w:hAnsi="Cambria Math"/>
                <w:sz w:val="22"/>
                <w:szCs w:val="22"/>
                <w:highlight w:val="yellow"/>
              </w:rPr>
              <m:t>1ij</m:t>
            </m:r>
            <m:ctrlPr>
              <w:rPr>
                <w:rFonts w:ascii="Cambria Math" w:hAnsi="Cambria Math"/>
                <w:sz w:val="22"/>
                <w:szCs w:val="22"/>
                <w:highlight w:val="yellow"/>
              </w:rPr>
            </m:ctrlPr>
          </m:sub>
        </m:sSub>
        <m:r>
          <m:rPr/>
          <w:rPr>
            <w:rFonts w:ascii="Cambria Math" w:hAnsi="Cambria Math"/>
            <w:sz w:val="22"/>
            <w:szCs w:val="22"/>
            <w:highlight w:val="yellow"/>
          </w:rPr>
          <m:t>/</m:t>
        </m:r>
        <m:sSub>
          <m:sSubPr>
            <m:ctrlPr>
              <w:rPr>
                <w:rFonts w:ascii="Cambria Math" w:hAnsi="Cambria Math"/>
                <w:sz w:val="22"/>
                <w:szCs w:val="22"/>
                <w:highlight w:val="yellow"/>
              </w:rPr>
            </m:ctrlPr>
          </m:sSubPr>
          <m:e>
            <m:r>
              <m:rPr/>
              <w:rPr>
                <w:rFonts w:ascii="Cambria Math" w:hAnsi="Cambria Math"/>
                <w:sz w:val="22"/>
                <w:szCs w:val="22"/>
                <w:highlight w:val="yellow"/>
              </w:rPr>
              <m:t>π</m:t>
            </m:r>
            <m:ctrlPr>
              <w:rPr>
                <w:rFonts w:ascii="Cambria Math" w:hAnsi="Cambria Math"/>
                <w:sz w:val="22"/>
                <w:szCs w:val="22"/>
                <w:highlight w:val="yellow"/>
              </w:rPr>
            </m:ctrlPr>
          </m:e>
          <m:sub>
            <m:r>
              <m:rPr/>
              <w:rPr>
                <w:rFonts w:ascii="Cambria Math" w:hAnsi="Cambria Math"/>
                <w:sz w:val="22"/>
                <w:szCs w:val="22"/>
                <w:highlight w:val="yellow"/>
              </w:rPr>
              <m:t>2ij</m:t>
            </m:r>
            <m:ctrlPr>
              <w:rPr>
                <w:rFonts w:ascii="Cambria Math" w:hAnsi="Cambria Math"/>
                <w:sz w:val="22"/>
                <w:szCs w:val="22"/>
                <w:highlight w:val="yellow"/>
              </w:rPr>
            </m:ctrlPr>
          </m:sub>
        </m:sSub>
      </m:oMath>
      <w:r>
        <w:rPr>
          <w:rFonts w:ascii="Century Schoolbook" w:hAnsi="Century Schoolbook" w:eastAsiaTheme="minorEastAsia"/>
          <w:sz w:val="22"/>
          <w:szCs w:val="22"/>
          <w:highlight w:val="yellow"/>
        </w:rPr>
        <w:t xml:space="preserve"> shows the level-1 terms’ slopes as outcomes being predicted by level-2 coefficients.</w:t>
      </w:r>
    </w:p>
    <w:p w14:paraId="25DF8CAC">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initial math achievement for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p>
    <w:p w14:paraId="5EA65911">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expected difference in initial math achievement between Black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holding other variables constant.</w:t>
      </w:r>
      <w:r>
        <w:rPr>
          <w:rFonts w:ascii="Century Schoolbook" w:hAnsi="Century Schoolbook" w:eastAsiaTheme="minorEastAsia"/>
          <w:sz w:val="22"/>
          <w:szCs w:val="22"/>
        </w:rPr>
        <w:t xml:space="preserve"> </w:t>
      </w:r>
    </w:p>
    <w:p w14:paraId="01951F51">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expected difference in initial math achievement between Hispanic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r>
        <w:rPr>
          <w:rFonts w:ascii="Century Schoolbook" w:hAnsi="Century Schoolbook" w:eastAsiaTheme="minorEastAsia"/>
          <w:sz w:val="22"/>
          <w:szCs w:val="22"/>
          <w:highlight w:val="yellow"/>
        </w:rPr>
        <w:t xml:space="preserve"> holding other variables constant.</w:t>
      </w:r>
    </w:p>
    <w:p w14:paraId="739E0826">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0ij</m:t>
            </m:r>
            <m:ctrlPr>
              <w:rPr>
                <w:rFonts w:ascii="Cambria Math" w:hAnsi="Cambria Math"/>
                <w:i/>
                <w:sz w:val="22"/>
                <w:szCs w:val="22"/>
              </w:rPr>
            </m:ctrlPr>
          </m:sub>
        </m:sSub>
      </m:oMath>
      <w:r>
        <w:rPr>
          <w:rFonts w:ascii="Century Schoolbook" w:hAnsi="Century Schoolbook" w:eastAsiaTheme="minorEastAsia"/>
          <w:sz w:val="22"/>
          <w:szCs w:val="22"/>
        </w:rPr>
        <w:t xml:space="preserve"> shows the </w:t>
      </w:r>
      <w:r>
        <w:rPr>
          <w:rFonts w:ascii="Century Schoolbook" w:hAnsi="Century Schoolbook" w:cstheme="majorBidi"/>
          <w:sz w:val="22"/>
          <w:szCs w:val="22"/>
          <w:highlight w:val="yellow"/>
        </w:rPr>
        <w:t>level 2 random effect that represents the deviation of individual i at school j’s math achievement from its predicted value based on the time points-level model.</w:t>
      </w:r>
      <w:r>
        <w:rPr>
          <w:rFonts w:ascii="Century Schoolbook" w:hAnsi="Century Schoolbook" w:cstheme="majorBidi"/>
          <w:sz w:val="22"/>
          <w:szCs w:val="22"/>
        </w:rPr>
        <w:t xml:space="preserve"> In other words, this estimate represents </w:t>
      </w:r>
      <w:r>
        <w:rPr>
          <w:rFonts w:ascii="Century Schoolbook" w:hAnsi="Century Schoolbook" w:eastAsiaTheme="minorEastAsia"/>
          <w:sz w:val="22"/>
          <w:szCs w:val="22"/>
        </w:rPr>
        <w:t xml:space="preserve">the difference between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predicted initial math score achievement and the school-specific prediction.</w:t>
      </w:r>
    </w:p>
    <w:p w14:paraId="5D5B6316">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w:t>
      </w:r>
      <w:r>
        <w:rPr>
          <w:rFonts w:ascii="Century Schoolbook" w:hAnsi="Century Schoolbook" w:eastAsia="Times New Roman" w:cstheme="majorBidi"/>
          <w:color w:val="000000"/>
          <w:sz w:val="22"/>
          <w:szCs w:val="22"/>
          <w:highlight w:val="yellow"/>
          <w:shd w:val="clear" w:color="auto" w:fill="FFFFFF"/>
        </w:rPr>
        <w:t>instantaneous</w:t>
      </w:r>
      <w:r>
        <w:rPr>
          <w:rFonts w:ascii="Century Schoolbook" w:hAnsi="Century Schoolbook" w:eastAsia="Times New Roman" w:cstheme="majorBidi"/>
          <w:color w:val="000000"/>
          <w:sz w:val="22"/>
          <w:szCs w:val="22"/>
          <w:shd w:val="clear" w:color="auto" w:fill="FFFFFF"/>
        </w:rPr>
        <w:t xml:space="preserve"> </w:t>
      </w:r>
      <w:r>
        <w:rPr>
          <w:rFonts w:ascii="Century Schoolbook" w:hAnsi="Century Schoolbook" w:eastAsiaTheme="minorEastAsia"/>
          <w:sz w:val="22"/>
          <w:szCs w:val="22"/>
        </w:rPr>
        <w:t xml:space="preserve">growth rate in math achievement for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p>
    <w:p w14:paraId="25761A10">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estimated difference in the linear growth rate between Black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r>
        <w:rPr>
          <w:rFonts w:ascii="Century Schoolbook" w:hAnsi="Century Schoolbook" w:eastAsiaTheme="minorEastAsia"/>
          <w:sz w:val="22"/>
          <w:szCs w:val="22"/>
          <w:highlight w:val="yellow"/>
        </w:rPr>
        <w:t>holding other variables constant.</w:t>
      </w:r>
    </w:p>
    <w:p w14:paraId="319BB702">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expected difference in the linear growth rate between Hispanic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r>
        <w:rPr>
          <w:rFonts w:ascii="Century Schoolbook" w:hAnsi="Century Schoolbook" w:eastAsiaTheme="minorEastAsia"/>
          <w:sz w:val="22"/>
          <w:szCs w:val="22"/>
          <w:highlight w:val="yellow"/>
        </w:rPr>
        <w:t xml:space="preserve"> holding other variables constant.</w:t>
      </w:r>
    </w:p>
    <w:p w14:paraId="10F4FBDD">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1ij</m:t>
            </m:r>
            <m:ctrlPr>
              <w:rPr>
                <w:rFonts w:ascii="Cambria Math" w:hAnsi="Cambria Math"/>
                <w:i/>
                <w:sz w:val="22"/>
                <w:szCs w:val="22"/>
              </w:rPr>
            </m:ctrlPr>
          </m:sub>
        </m:sSub>
      </m:oMath>
      <w:r>
        <w:rPr>
          <w:rFonts w:ascii="Century Schoolbook" w:hAnsi="Century Schoolbook" w:eastAsiaTheme="minorEastAsia"/>
          <w:sz w:val="22"/>
          <w:szCs w:val="22"/>
        </w:rPr>
        <w:t xml:space="preserve"> is the </w:t>
      </w:r>
      <w:r>
        <w:rPr>
          <w:rFonts w:ascii="Century Schoolbook" w:hAnsi="Century Schoolbook" w:eastAsiaTheme="minorEastAsia"/>
          <w:sz w:val="22"/>
          <w:szCs w:val="22"/>
          <w:highlight w:val="yellow"/>
        </w:rPr>
        <w:t>is the level 2-random effect that represents the deviation of individual in school j’s level one coefficient from its predicted value based on the individual-level model.</w:t>
      </w:r>
      <w:r>
        <w:rPr>
          <w:rFonts w:ascii="Century Schoolbook" w:hAnsi="Century Schoolbook" w:eastAsiaTheme="minorEastAsia"/>
          <w:sz w:val="22"/>
          <w:szCs w:val="22"/>
        </w:rPr>
        <w:t xml:space="preserve"> In other words, this measure shows the difference between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predicted math score achievement growth rate and the school-specific prediction.</w:t>
      </w:r>
    </w:p>
    <w:p w14:paraId="61DAC0CB">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20j</m:t>
            </m:r>
            <m:ctrlPr>
              <w:rPr>
                <w:rFonts w:ascii="Cambria Math" w:hAnsi="Cambria Math"/>
                <w:sz w:val="22"/>
                <w:szCs w:val="22"/>
              </w:rPr>
            </m:ctrlPr>
          </m:sub>
        </m:sSub>
      </m:oMath>
      <w:r>
        <w:rPr>
          <w:rFonts w:ascii="Century Schoolbook" w:hAnsi="Century Schoolbook" w:eastAsiaTheme="minorEastAsia"/>
          <w:sz w:val="22"/>
          <w:szCs w:val="22"/>
        </w:rPr>
        <w:t xml:space="preserve"> shows the expected quadratic growth rate in math achievement for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w:t>
      </w:r>
    </w:p>
    <w:p w14:paraId="2023122D">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expected difference in the quadratic growth rate </w:t>
      </w:r>
      <w:r>
        <w:rPr>
          <w:rFonts w:ascii="Century Schoolbook" w:hAnsi="Century Schoolbook" w:eastAsiaTheme="minorEastAsia"/>
          <w:sz w:val="22"/>
          <w:szCs w:val="22"/>
          <w:highlight w:val="yellow"/>
        </w:rPr>
        <w:t xml:space="preserve">or </w:t>
      </w:r>
      <w:r>
        <w:rPr>
          <w:rFonts w:ascii="Century Schoolbook" w:hAnsi="Century Schoolbook" w:eastAsia="Times New Roman" w:cstheme="majorBidi"/>
          <w:color w:val="000000"/>
          <w:sz w:val="22"/>
          <w:szCs w:val="22"/>
          <w:highlight w:val="yellow"/>
          <w:shd w:val="clear" w:color="auto" w:fill="FFFFFF"/>
        </w:rPr>
        <w:t>acceleration rate</w:t>
      </w:r>
      <w:r>
        <w:rPr>
          <w:rFonts w:ascii="Century Schoolbook" w:hAnsi="Century Schoolbook" w:eastAsiaTheme="minorEastAsia"/>
          <w:sz w:val="22"/>
          <w:szCs w:val="22"/>
        </w:rPr>
        <w:t xml:space="preserve"> between Black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holding other variables constant.</w:t>
      </w:r>
    </w:p>
    <w:p w14:paraId="7C7D076F">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oMath>
      <w:r>
        <w:rPr>
          <w:rFonts w:ascii="Century Schoolbook" w:hAnsi="Century Schoolbook" w:eastAsiaTheme="minorEastAsia"/>
          <w:sz w:val="22"/>
          <w:szCs w:val="22"/>
        </w:rPr>
        <w:t xml:space="preserve"> shows the expected difference in the quadratic growth rate or </w:t>
      </w:r>
      <w:r>
        <w:rPr>
          <w:rFonts w:ascii="Century Schoolbook" w:hAnsi="Century Schoolbook" w:eastAsiaTheme="minorEastAsia"/>
          <w:sz w:val="22"/>
          <w:szCs w:val="22"/>
          <w:highlight w:val="yellow"/>
        </w:rPr>
        <w:t>acceleration rate</w:t>
      </w:r>
      <w:r>
        <w:rPr>
          <w:rFonts w:ascii="Century Schoolbook" w:hAnsi="Century Schoolbook" w:eastAsiaTheme="minorEastAsia"/>
          <w:sz w:val="22"/>
          <w:szCs w:val="22"/>
        </w:rPr>
        <w:t xml:space="preserve"> between Hispanic students and white students in school </w:t>
      </w:r>
      <w:r>
        <w:rPr>
          <w:rFonts w:ascii="Century Schoolbook" w:hAnsi="Century Schoolbook" w:eastAsiaTheme="minorEastAsia"/>
          <w:sz w:val="22"/>
          <w:szCs w:val="22"/>
          <w:vertAlign w:val="subscript"/>
        </w:rPr>
        <w:t xml:space="preserve">j </w:t>
      </w:r>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holding other variables constant.</w:t>
      </w:r>
    </w:p>
    <w:p w14:paraId="63932B47">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2ij</m:t>
            </m:r>
            <m:ctrlPr>
              <w:rPr>
                <w:rFonts w:ascii="Cambria Math" w:hAnsi="Cambria Math"/>
                <w:i/>
                <w:sz w:val="22"/>
                <w:szCs w:val="22"/>
              </w:rPr>
            </m:ctrlPr>
          </m:sub>
        </m:sSub>
      </m:oMath>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shows the level 2 random effect that represents the deviation of individual i at school j’s level one coefficient, the curvature term, from its predicted value based on the time individual-level model</w:t>
      </w:r>
      <w:r>
        <w:rPr>
          <w:rFonts w:ascii="Century Schoolbook" w:hAnsi="Century Schoolbook" w:eastAsiaTheme="minorEastAsia"/>
          <w:sz w:val="22"/>
          <w:szCs w:val="22"/>
        </w:rPr>
        <w:t xml:space="preserve">. In other words, this measure represents the difference between child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predicted math score quadratic growth rate and the school-specific prediction.</w:t>
      </w:r>
    </w:p>
    <w:p w14:paraId="1436B150">
      <w:pPr>
        <w:pStyle w:val="50"/>
        <w:shd w:val="clear" w:color="auto" w:fill="FFFFFF" w:themeFill="background1"/>
        <w:rPr>
          <w:rFonts w:ascii="Century Schoolbook" w:hAnsi="Century Schoolbook" w:eastAsiaTheme="minorEastAsia"/>
          <w:sz w:val="22"/>
          <w:szCs w:val="22"/>
        </w:rPr>
      </w:pPr>
    </w:p>
    <w:p w14:paraId="0E8B2360">
      <w:pPr>
        <w:pStyle w:val="3"/>
        <w:ind w:left="-360" w:hanging="360"/>
        <w:rPr>
          <w:rFonts w:ascii="Century Schoolbook" w:hAnsi="Century Schoolbook"/>
          <w:i/>
          <w:iCs/>
          <w:sz w:val="22"/>
          <w:szCs w:val="22"/>
        </w:rPr>
      </w:pPr>
      <w:r>
        <w:rPr>
          <w:rFonts w:ascii="Century Schoolbook" w:hAnsi="Century Schoolbook"/>
          <w:i/>
          <w:iCs/>
          <w:sz w:val="22"/>
          <w:szCs w:val="22"/>
        </w:rPr>
        <w:t xml:space="preserve">Level Three Model: </w:t>
      </w:r>
    </w:p>
    <w:p w14:paraId="0AD8DAD7">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00j</m:t>
              </m:r>
              <m:ctrlPr>
                <w:rPr>
                  <w:rFonts w:ascii="Cambria Math" w:hAnsi="Cambria Math"/>
                  <w:i/>
                  <w:sz w:val="22"/>
                  <w:szCs w:val="22"/>
                </w:rPr>
              </m:ctrlPr>
            </m:sub>
          </m:sSub>
        </m:oMath>
      </m:oMathPara>
    </w:p>
    <w:p w14:paraId="6A06BC95">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010</m:t>
              </m:r>
              <m:ctrlPr>
                <w:rPr>
                  <w:rFonts w:ascii="Cambria Math" w:hAnsi="Cambria Math"/>
                  <w:sz w:val="22"/>
                  <w:szCs w:val="22"/>
                </w:rPr>
              </m:ctrlPr>
            </m:sub>
          </m:sSub>
        </m:oMath>
      </m:oMathPara>
    </w:p>
    <w:p w14:paraId="2BF506C5">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020</m:t>
              </m:r>
              <m:ctrlPr>
                <w:rPr>
                  <w:rFonts w:ascii="Cambria Math" w:hAnsi="Cambria Math"/>
                  <w:sz w:val="22"/>
                  <w:szCs w:val="22"/>
                </w:rPr>
              </m:ctrlPr>
            </m:sub>
          </m:sSub>
        </m:oMath>
      </m:oMathPara>
    </w:p>
    <w:p w14:paraId="31A56A28">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10j</m:t>
              </m:r>
              <m:ctrlPr>
                <w:rPr>
                  <w:rFonts w:ascii="Cambria Math" w:hAnsi="Cambria Math"/>
                  <w:i/>
                  <w:sz w:val="22"/>
                  <w:szCs w:val="22"/>
                </w:rPr>
              </m:ctrlPr>
            </m:sub>
          </m:sSub>
        </m:oMath>
      </m:oMathPara>
    </w:p>
    <w:p w14:paraId="0F5AD489">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oMath>
      </m:oMathPara>
    </w:p>
    <w:p w14:paraId="2A9842B2">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120</m:t>
              </m:r>
              <m:ctrlPr>
                <w:rPr>
                  <w:rFonts w:ascii="Cambria Math" w:hAnsi="Cambria Math"/>
                  <w:sz w:val="22"/>
                  <w:szCs w:val="22"/>
                </w:rPr>
              </m:ctrlPr>
            </m:sub>
          </m:sSub>
        </m:oMath>
      </m:oMathPara>
    </w:p>
    <w:p w14:paraId="3FB3B34C">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20j</m:t>
              </m:r>
              <m:ctrlPr>
                <w:rPr>
                  <w:rFonts w:ascii="Cambria Math" w:hAnsi="Cambria Math"/>
                  <w:i/>
                  <w:sz w:val="22"/>
                  <w:szCs w:val="22"/>
                </w:rPr>
              </m:ctrlPr>
            </m:sub>
          </m:sSub>
        </m:oMath>
      </m:oMathPara>
    </w:p>
    <w:p w14:paraId="6BF23456">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210</m:t>
              </m:r>
              <m:ctrlPr>
                <w:rPr>
                  <w:rFonts w:ascii="Cambria Math" w:hAnsi="Cambria Math"/>
                  <w:sz w:val="22"/>
                  <w:szCs w:val="22"/>
                </w:rPr>
              </m:ctrlPr>
            </m:sub>
          </m:sSub>
        </m:oMath>
      </m:oMathPara>
    </w:p>
    <w:p w14:paraId="45CEBD41">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220</m:t>
              </m:r>
              <m:ctrlPr>
                <w:rPr>
                  <w:rFonts w:ascii="Cambria Math" w:hAnsi="Cambria Math"/>
                  <w:sz w:val="22"/>
                  <w:szCs w:val="22"/>
                </w:rPr>
              </m:ctrlPr>
            </m:sub>
          </m:sSub>
        </m:oMath>
      </m:oMathPara>
    </w:p>
    <w:p w14:paraId="1CDF5B06">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The Level Three model explains how school-level achievement trajectories vary across schools.</w:t>
      </w:r>
    </w:p>
    <w:p w14:paraId="63B5B338">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the average initial math achievement score for white students across all schools. </w:t>
      </w:r>
      <w:r>
        <w:rPr>
          <w:rFonts w:ascii="Century Schoolbook" w:hAnsi="Century Schoolbook" w:eastAsiaTheme="minorEastAsia"/>
          <w:sz w:val="22"/>
          <w:szCs w:val="22"/>
          <w:highlight w:val="yellow"/>
        </w:rPr>
        <w:t>This is the mean of school means or the grand mean for white students.</w:t>
      </w:r>
    </w:p>
    <w:p w14:paraId="42658313">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00j</m:t>
            </m:r>
            <m:ctrlPr>
              <w:rPr>
                <w:rFonts w:ascii="Cambria Math" w:hAnsi="Cambria Math"/>
                <w:i/>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how much school </w:t>
      </w:r>
      <w:r>
        <w:rPr>
          <w:rFonts w:ascii="Century Schoolbook" w:hAnsi="Century Schoolbook" w:eastAsiaTheme="minorEastAsia"/>
          <w:sz w:val="22"/>
          <w:szCs w:val="22"/>
          <w:vertAlign w:val="subscript"/>
        </w:rPr>
        <w:t>j</w:t>
      </w:r>
      <w:r>
        <w:rPr>
          <w:rFonts w:ascii="Century Schoolbook" w:hAnsi="Century Schoolbook" w:eastAsiaTheme="minorEastAsia"/>
          <w:sz w:val="22"/>
          <w:szCs w:val="22"/>
        </w:rPr>
        <w:t xml:space="preserve"> white-student average initial math achievement score differs from the average across all schools. </w:t>
      </w:r>
      <w:r>
        <w:rPr>
          <w:rFonts w:ascii="Century Schoolbook" w:hAnsi="Century Schoolbook" w:eastAsiaTheme="minorEastAsia"/>
          <w:sz w:val="22"/>
          <w:szCs w:val="22"/>
          <w:highlight w:val="yellow"/>
        </w:rPr>
        <w:t>This is the random school effect or the deviation of school j’s mean of math achievement from the grand mean.</w:t>
      </w:r>
    </w:p>
    <w:p w14:paraId="3CAA8044">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010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shows the average difference in initial math achievement between Black students and white students across schools.</w:t>
      </w:r>
    </w:p>
    <w:p w14:paraId="391FD746">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020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shows the average difference in initial math achievement score between Hispanic students and white students across schools.</w:t>
      </w:r>
    </w:p>
    <w:p w14:paraId="1CAB9C2A">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highlight w:val="red"/>
              </w:rPr>
            </m:ctrlPr>
          </m:sSubPr>
          <m:e>
            <m:r>
              <m:rPr/>
              <w:rPr>
                <w:rFonts w:ascii="Cambria Math" w:hAnsi="Cambria Math"/>
                <w:sz w:val="22"/>
                <w:szCs w:val="22"/>
                <w:highlight w:val="red"/>
              </w:rPr>
              <m:t>γ</m:t>
            </m:r>
            <m:ctrlPr>
              <w:rPr>
                <w:rFonts w:ascii="Cambria Math" w:hAnsi="Cambria Math"/>
                <w:sz w:val="22"/>
                <w:szCs w:val="22"/>
                <w:highlight w:val="red"/>
              </w:rPr>
            </m:ctrlPr>
          </m:e>
          <m:sub>
            <m:r>
              <m:rPr/>
              <w:rPr>
                <w:rFonts w:ascii="Cambria Math" w:hAnsi="Cambria Math"/>
                <w:sz w:val="22"/>
                <w:szCs w:val="22"/>
                <w:highlight w:val="red"/>
              </w:rPr>
              <m:t>100</m:t>
            </m:r>
            <m:ctrlPr>
              <w:rPr>
                <w:rFonts w:ascii="Cambria Math" w:hAnsi="Cambria Math"/>
                <w:sz w:val="22"/>
                <w:szCs w:val="22"/>
                <w:highlight w:val="red"/>
              </w:rPr>
            </m:ctrlPr>
          </m:sub>
        </m:sSub>
        <m:r>
          <m:rPr/>
          <w:rPr>
            <w:rFonts w:ascii="Cambria Math" w:hAnsi="Cambria Math"/>
            <w:sz w:val="22"/>
            <w:szCs w:val="22"/>
            <w:highlight w:val="red"/>
          </w:rPr>
          <m:t xml:space="preserve"> </m:t>
        </m:r>
      </m:oMath>
      <w:r>
        <w:rPr>
          <w:rFonts w:ascii="Century Schoolbook" w:hAnsi="Century Schoolbook" w:eastAsiaTheme="minorEastAsia"/>
          <w:sz w:val="22"/>
          <w:szCs w:val="22"/>
          <w:highlight w:val="red"/>
        </w:rPr>
        <w:t>shows the average growth rate in math achievement scores for white students across all schools.</w:t>
      </w:r>
    </w:p>
    <w:p w14:paraId="19A1C650">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10j</m:t>
            </m:r>
            <m:ctrlPr>
              <w:rPr>
                <w:rFonts w:ascii="Cambria Math" w:hAnsi="Cambria Math"/>
                <w:i/>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how much school </w:t>
      </w:r>
      <w:r>
        <w:rPr>
          <w:rFonts w:ascii="Century Schoolbook" w:hAnsi="Century Schoolbook" w:eastAsiaTheme="minorEastAsia"/>
          <w:sz w:val="22"/>
          <w:szCs w:val="22"/>
          <w:vertAlign w:val="subscript"/>
        </w:rPr>
        <w:t>j</w:t>
      </w:r>
      <w:r>
        <w:rPr>
          <w:rFonts w:ascii="Century Schoolbook" w:hAnsi="Century Schoolbook" w:eastAsiaTheme="minorEastAsia"/>
          <w:sz w:val="22"/>
          <w:szCs w:val="22"/>
        </w:rPr>
        <w:t xml:space="preserve"> white-student growth rate in math achievement differs from the average growth rate across all schools. </w:t>
      </w:r>
      <w:r>
        <w:rPr>
          <w:rFonts w:ascii="Century Schoolbook" w:hAnsi="Century Schoolbook" w:eastAsiaTheme="minorEastAsia"/>
          <w:sz w:val="22"/>
          <w:szCs w:val="22"/>
          <w:highlight w:val="yellow"/>
        </w:rPr>
        <w:t>This is the random effect for the year slopes.</w:t>
      </w:r>
      <w:r>
        <w:rPr>
          <w:rFonts w:ascii="Century Schoolbook" w:hAnsi="Century Schoolbook" w:eastAsiaTheme="minorEastAsia"/>
          <w:sz w:val="22"/>
          <w:szCs w:val="22"/>
        </w:rPr>
        <w:t xml:space="preserve"> </w:t>
      </w:r>
    </w:p>
    <w:p w14:paraId="7D767E52">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the average difference in the </w:t>
      </w:r>
      <w:r>
        <w:rPr>
          <w:rFonts w:ascii="Century Schoolbook" w:hAnsi="Century Schoolbook" w:cstheme="majorBidi"/>
          <w:sz w:val="22"/>
          <w:szCs w:val="22"/>
        </w:rPr>
        <w:t xml:space="preserve">instantaneous </w:t>
      </w:r>
      <w:r>
        <w:rPr>
          <w:rFonts w:ascii="Century Schoolbook" w:hAnsi="Century Schoolbook" w:eastAsiaTheme="minorEastAsia"/>
          <w:sz w:val="22"/>
          <w:szCs w:val="22"/>
        </w:rPr>
        <w:t>growth rate between Black students and white students across schools.</w:t>
      </w:r>
    </w:p>
    <w:p w14:paraId="71A03038">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120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the average difference in the </w:t>
      </w:r>
      <w:r>
        <w:rPr>
          <w:rFonts w:ascii="Century Schoolbook" w:hAnsi="Century Schoolbook" w:cstheme="majorBidi"/>
          <w:sz w:val="22"/>
          <w:szCs w:val="22"/>
        </w:rPr>
        <w:t xml:space="preserve">instantaneous </w:t>
      </w:r>
      <w:r>
        <w:rPr>
          <w:rFonts w:ascii="Century Schoolbook" w:hAnsi="Century Schoolbook" w:eastAsiaTheme="minorEastAsia"/>
          <w:sz w:val="22"/>
          <w:szCs w:val="22"/>
        </w:rPr>
        <w:t>growth rate between Hispanic students and white students across schools.</w:t>
      </w:r>
    </w:p>
    <w:p w14:paraId="569F8C2A">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200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the average quadratic growth rate in math achievement for white students across all schools. This is </w:t>
      </w:r>
      <w:r>
        <w:rPr>
          <w:rFonts w:ascii="Century Schoolbook" w:hAnsi="Century Schoolbook" w:cstheme="majorBidi"/>
          <w:sz w:val="22"/>
          <w:szCs w:val="22"/>
        </w:rPr>
        <w:t>the curvature term for the growth rate trajectories.</w:t>
      </w:r>
    </w:p>
    <w:p w14:paraId="383D6BC4">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20j</m:t>
            </m:r>
            <m:ctrlPr>
              <w:rPr>
                <w:rFonts w:ascii="Cambria Math" w:hAnsi="Cambria Math"/>
                <w:i/>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 xml:space="preserve">shows how much school </w:t>
      </w:r>
      <w:r>
        <w:rPr>
          <w:rFonts w:ascii="Century Schoolbook" w:hAnsi="Century Schoolbook" w:eastAsiaTheme="minorEastAsia"/>
          <w:sz w:val="22"/>
          <w:szCs w:val="22"/>
          <w:vertAlign w:val="subscript"/>
        </w:rPr>
        <w:t>j</w:t>
      </w:r>
      <w:r>
        <w:rPr>
          <w:rFonts w:ascii="Century Schoolbook" w:hAnsi="Century Schoolbook" w:eastAsiaTheme="minorEastAsia"/>
          <w:sz w:val="22"/>
          <w:szCs w:val="22"/>
        </w:rPr>
        <w:t xml:space="preserve"> white-student quadratic growth rate in math achievement score differs from the average quadratic growth rate across all schools. This is the random effect for the curvature term.</w:t>
      </w:r>
    </w:p>
    <w:p w14:paraId="62060003">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210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shows the average difference in the quadratic growth rate between Black students and white students across schools.</w:t>
      </w:r>
    </w:p>
    <w:p w14:paraId="334A2847">
      <w:pPr>
        <w:pStyle w:val="50"/>
        <w:shd w:val="clear" w:color="auto" w:fill="FFFFFF" w:themeFill="background1"/>
        <w:rPr>
          <w:rFonts w:ascii="Century Schoolbook" w:hAnsi="Century Schoolbook" w:eastAsiaTheme="minorEastAsia"/>
          <w:sz w:val="22"/>
          <w:szCs w:val="22"/>
        </w:rPr>
      </w:pP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220</m:t>
            </m:r>
            <m:ctrlPr>
              <w:rPr>
                <w:rFonts w:ascii="Cambria Math" w:hAnsi="Cambria Math"/>
                <w:sz w:val="22"/>
                <w:szCs w:val="22"/>
              </w:rPr>
            </m:ctrlPr>
          </m:sub>
        </m:sSub>
        <m:r>
          <m:rPr/>
          <w:rPr>
            <w:rFonts w:ascii="Cambria Math" w:hAnsi="Cambria Math"/>
            <w:sz w:val="22"/>
            <w:szCs w:val="22"/>
          </w:rPr>
          <m:t xml:space="preserve"> </m:t>
        </m:r>
      </m:oMath>
      <w:r>
        <w:rPr>
          <w:rFonts w:ascii="Century Schoolbook" w:hAnsi="Century Schoolbook" w:eastAsiaTheme="minorEastAsia"/>
          <w:sz w:val="22"/>
          <w:szCs w:val="22"/>
        </w:rPr>
        <w:t>shows the average difference in the quadratic growth rate between Hispanic students and white students across schools.</w:t>
      </w:r>
    </w:p>
    <w:p w14:paraId="7E4226E0">
      <w:pPr>
        <w:pStyle w:val="3"/>
        <w:ind w:left="-360" w:hanging="360"/>
        <w:rPr>
          <w:rFonts w:ascii="Century Schoolbook" w:hAnsi="Century Schoolbook"/>
          <w:b/>
          <w:bCs/>
          <w:sz w:val="22"/>
          <w:szCs w:val="22"/>
        </w:rPr>
      </w:pPr>
    </w:p>
    <w:p w14:paraId="43E23CB9">
      <w:pPr>
        <w:pStyle w:val="3"/>
        <w:ind w:left="-360" w:hanging="360"/>
        <w:rPr>
          <w:rFonts w:ascii="Century Schoolbook" w:hAnsi="Century Schoolbook"/>
          <w:b/>
          <w:bCs/>
          <w:sz w:val="22"/>
          <w:szCs w:val="22"/>
        </w:rPr>
      </w:pPr>
      <w:r>
        <w:rPr>
          <w:rFonts w:ascii="Century Schoolbook" w:hAnsi="Century Schoolbook"/>
          <w:b/>
          <w:bCs/>
          <w:sz w:val="22"/>
          <w:szCs w:val="22"/>
        </w:rPr>
        <w:t>2.</w:t>
      </w:r>
      <w:r>
        <w:rPr>
          <w:rFonts w:ascii="Century Schoolbook" w:hAnsi="Century Schoolbook"/>
          <w:b/>
          <w:bCs/>
          <w:sz w:val="22"/>
          <w:szCs w:val="22"/>
        </w:rPr>
        <w:tab/>
      </w:r>
      <w:r>
        <w:rPr>
          <w:rFonts w:ascii="Century Schoolbook" w:hAnsi="Century Schoolbook"/>
          <w:b/>
          <w:bCs/>
          <w:sz w:val="22"/>
          <w:szCs w:val="22"/>
        </w:rPr>
        <w:t>Run the model and interpret the output for the fixed coefficients (the gammas), explaining the findings with respect to ethnic differences in learning rates.</w:t>
      </w:r>
    </w:p>
    <w:p w14:paraId="01CBCABD">
      <w:pPr>
        <w:pStyle w:val="3"/>
        <w:ind w:left="-360" w:hanging="360"/>
        <w:jc w:val="center"/>
        <w:rPr>
          <w:rStyle w:val="49"/>
          <w:rFonts w:ascii="Century Schoolbook" w:hAnsi="Century Schoolbook"/>
          <w:b/>
          <w:bCs/>
          <w:szCs w:val="22"/>
        </w:rPr>
      </w:pPr>
      <w:r>
        <w:rPr>
          <w:rFonts w:ascii="Century Schoolbook" w:hAnsi="Century Schoolbook" w:cstheme="majorBidi"/>
          <w:sz w:val="22"/>
          <w:szCs w:val="22"/>
        </w:rPr>
        <w:drawing>
          <wp:inline distT="0" distB="0" distL="0" distR="0">
            <wp:extent cx="5032375" cy="2886710"/>
            <wp:effectExtent l="114300" t="95250" r="92075" b="85090"/>
            <wp:docPr id="1207673542" name="Picture 1" descr="The image is a table displaying coefficients, standard errors, t-ratios, and p-values for various variables in a regress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3542" name="Picture 1" descr="The image is a table displaying coefficients, standard errors, t-ratios, and p-values for various variables in a regression analysi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060440" cy="290297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CA63C83">
      <w:pPr>
        <w:pStyle w:val="3"/>
        <w:ind w:left="-360" w:hanging="360"/>
        <w:jc w:val="center"/>
        <w:rPr>
          <w:rStyle w:val="49"/>
          <w:rFonts w:ascii="Century Schoolbook" w:hAnsi="Century Schoolbook"/>
          <w:b/>
          <w:bCs/>
          <w:szCs w:val="22"/>
        </w:rPr>
      </w:pPr>
    </w:p>
    <w:p w14:paraId="5CAB8E74">
      <w:pPr>
        <w:pStyle w:val="3"/>
        <w:ind w:left="-360" w:hanging="360"/>
        <w:jc w:val="center"/>
        <w:rPr>
          <w:rStyle w:val="49"/>
          <w:rFonts w:ascii="Century Schoolbook" w:hAnsi="Century Schoolbook"/>
          <w:b/>
          <w:bCs/>
          <w:szCs w:val="22"/>
        </w:rPr>
      </w:pPr>
    </w:p>
    <w:p w14:paraId="75FBA152">
      <w:pPr>
        <w:pStyle w:val="50"/>
        <w:shd w:val="clear" w:color="auto" w:fill="FFFFFF" w:themeFill="background1"/>
        <w:rPr>
          <w:rFonts w:ascii="Century Schoolbook" w:hAnsi="Century Schoolbook" w:eastAsiaTheme="minorEastAsia"/>
          <w:sz w:val="22"/>
          <w:szCs w:val="22"/>
        </w:rPr>
      </w:pPr>
      <w:r>
        <w:rPr>
          <w:rStyle w:val="49"/>
          <w:rFonts w:ascii="Century Schoolbook" w:hAnsi="Century Schoolbook"/>
          <w:b/>
          <w:bCs/>
          <w:szCs w:val="22"/>
        </w:rPr>
        <w:tab/>
      </w: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000</m:t>
            </m:r>
            <m:ctrlPr>
              <w:rPr>
                <w:rFonts w:ascii="Cambria Math" w:hAnsi="Cambria Math"/>
                <w:sz w:val="22"/>
                <w:szCs w:val="22"/>
              </w:rPr>
            </m:ctrlPr>
          </m:sub>
        </m:sSub>
        <m:r>
          <m:rPr/>
          <w:rPr>
            <w:rFonts w:ascii="Cambria Math" w:hAnsi="Cambria Math"/>
            <w:sz w:val="22"/>
            <w:szCs w:val="22"/>
          </w:rPr>
          <m:t>= −0.261518</m:t>
        </m:r>
      </m:oMath>
      <w:r>
        <w:rPr>
          <w:rFonts w:ascii="Century Schoolbook" w:hAnsi="Century Schoolbook" w:eastAsiaTheme="minorEastAsia"/>
          <w:sz w:val="22"/>
          <w:szCs w:val="22"/>
        </w:rPr>
        <w:t xml:space="preserve">. This estimate shows the expected math achievement score for white students at the spring of 1st grade. Specifically, this value suggests that the predicted “starting” math achievement score for white students is slightly below 0.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0.002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w:t>
      </w:r>
    </w:p>
    <w:p w14:paraId="1155A392">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ab/>
      </w: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010</m:t>
            </m:r>
            <m:ctrlPr>
              <w:rPr>
                <w:rFonts w:ascii="Cambria Math" w:hAnsi="Cambria Math"/>
                <w:sz w:val="22"/>
                <w:szCs w:val="22"/>
              </w:rPr>
            </m:ctrlPr>
          </m:sub>
        </m:sSub>
        <m:r>
          <m:rPr/>
          <w:rPr>
            <w:rFonts w:ascii="Cambria Math" w:hAnsi="Cambria Math"/>
            <w:sz w:val="22"/>
            <w:szCs w:val="22"/>
          </w:rPr>
          <m:t>= −0.618030</m:t>
        </m:r>
      </m:oMath>
      <w:r>
        <w:rPr>
          <w:rFonts w:ascii="Century Schoolbook" w:hAnsi="Century Schoolbook" w:eastAsiaTheme="minorEastAsia"/>
          <w:sz w:val="22"/>
          <w:szCs w:val="22"/>
        </w:rPr>
        <w:t xml:space="preserve">. This estimate shows the expected difference in initial math achievement between Black students and white students. This means that, at the spring of 1st grade, Black students are predicted to score about 0.618 points lower than white students.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010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4969ED98">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020</m:t>
            </m:r>
            <m:ctrlPr>
              <w:rPr>
                <w:rFonts w:ascii="Cambria Math" w:hAnsi="Cambria Math"/>
                <w:sz w:val="22"/>
                <w:szCs w:val="22"/>
              </w:rPr>
            </m:ctrlPr>
          </m:sub>
        </m:sSub>
        <m:r>
          <m:rPr/>
          <w:rPr>
            <w:rFonts w:ascii="Cambria Math" w:hAnsi="Cambria Math"/>
            <w:sz w:val="22"/>
            <w:szCs w:val="22"/>
          </w:rPr>
          <m:t>= −0.391802</m:t>
        </m:r>
      </m:oMath>
      <w:r>
        <w:rPr>
          <w:rFonts w:ascii="Century Schoolbook" w:hAnsi="Century Schoolbook" w:eastAsiaTheme="minorEastAsia"/>
          <w:sz w:val="22"/>
          <w:szCs w:val="22"/>
        </w:rPr>
        <w:t xml:space="preserve">. This estimate shows the expected difference in initial math achievement between Hispanic students and white students. This means that Hispanic students are predicted to score about 0.392 points lower than white students at the spring of 1st grade.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020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06774B4C">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 0.836232</m:t>
        </m:r>
      </m:oMath>
      <w:r>
        <w:rPr>
          <w:rFonts w:ascii="Century Schoolbook" w:hAnsi="Century Schoolbook" w:eastAsiaTheme="minorEastAsia"/>
          <w:sz w:val="22"/>
          <w:szCs w:val="22"/>
        </w:rPr>
        <w:t xml:space="preserve">. This estimate represents the expected growth rate in math achievement for white students. This means that white students’ math achievement is expected to increase by ~0.836 points every year.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0AA6A1C1">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 −0.066526</m:t>
        </m:r>
      </m:oMath>
      <w:r>
        <w:rPr>
          <w:rFonts w:ascii="Century Schoolbook" w:hAnsi="Century Schoolbook" w:eastAsiaTheme="minorEastAsia"/>
          <w:sz w:val="22"/>
          <w:szCs w:val="22"/>
        </w:rPr>
        <w:t xml:space="preserve">. This estimate shows the difference in the growth rate between Black students and white students. In particular, this estimate means that the expected growth rate for Black students is about 0.067 units lower than the expected growth rate for white students.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0.015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02705B7C">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120</m:t>
            </m:r>
            <m:ctrlPr>
              <w:rPr>
                <w:rFonts w:ascii="Cambria Math" w:hAnsi="Cambria Math"/>
                <w:sz w:val="22"/>
                <w:szCs w:val="22"/>
              </w:rPr>
            </m:ctrlPr>
          </m:sub>
        </m:sSub>
        <m:r>
          <m:rPr/>
          <w:rPr>
            <w:rFonts w:ascii="Cambria Math" w:hAnsi="Cambria Math"/>
            <w:sz w:val="22"/>
            <w:szCs w:val="22"/>
          </w:rPr>
          <m:t>= 0.030924</m:t>
        </m:r>
      </m:oMath>
      <w:r>
        <w:rPr>
          <w:rFonts w:ascii="Century Schoolbook" w:hAnsi="Century Schoolbook" w:eastAsiaTheme="minorEastAsia"/>
          <w:sz w:val="22"/>
          <w:szCs w:val="22"/>
        </w:rPr>
        <w:t xml:space="preserve">. This estimate shows the difference in the growth rate between Hispanic students and white students. In particular, this estimate means that the expected growth rate for Hispanic students is about 0.031 units higher than the expected growth rate for white students. </w:t>
      </w:r>
      <w:r>
        <w:rPr>
          <w:rFonts w:ascii="Century Schoolbook" w:hAnsi="Century Schoolbook"/>
          <w:sz w:val="22"/>
          <w:szCs w:val="22"/>
        </w:rPr>
        <w:t xml:space="preserve">However,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0.304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120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With this in mind, we infer that there is a gap between black and white students, however, we don’t have enough statistical evidence to prove that there is difference between Hispanic and white students.</w:t>
      </w:r>
    </w:p>
    <w:p w14:paraId="5126CEC4">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200</m:t>
            </m:r>
            <m:ctrlPr>
              <w:rPr>
                <w:rFonts w:ascii="Cambria Math" w:hAnsi="Cambria Math"/>
                <w:sz w:val="22"/>
                <w:szCs w:val="22"/>
              </w:rPr>
            </m:ctrlPr>
          </m:sub>
        </m:sSub>
        <m:r>
          <m:rPr/>
          <w:rPr>
            <w:rFonts w:ascii="Cambria Math" w:hAnsi="Cambria Math"/>
            <w:sz w:val="22"/>
            <w:szCs w:val="22"/>
          </w:rPr>
          <m:t>= −0.059472</m:t>
        </m:r>
      </m:oMath>
      <w:r>
        <w:rPr>
          <w:rFonts w:ascii="Century Schoolbook" w:hAnsi="Century Schoolbook" w:eastAsiaTheme="minorEastAsia"/>
          <w:sz w:val="22"/>
          <w:szCs w:val="22"/>
        </w:rPr>
        <w:t xml:space="preserve">. This estimate shows the expected quadratic growth term for white students. In particular, the estimate shows that white students’ math achievement continues to increase over time, but at a decreasing rate. In other words, there is a deceleration in math achievement growth for white students. </w:t>
      </w:r>
      <w:r>
        <w:rPr>
          <w:rFonts w:ascii="Century Schoolbook" w:hAnsi="Century Schoolbook"/>
          <w:sz w:val="22"/>
          <w:szCs w:val="22"/>
        </w:rPr>
        <w:t xml:space="preserve">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w:t>
      </w:r>
    </w:p>
    <w:p w14:paraId="16E2F02F">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210</m:t>
            </m:r>
            <m:ctrlPr>
              <w:rPr>
                <w:rFonts w:ascii="Cambria Math" w:hAnsi="Cambria Math"/>
                <w:sz w:val="22"/>
                <w:szCs w:val="22"/>
              </w:rPr>
            </m:ctrlPr>
          </m:sub>
        </m:sSub>
        <m:r>
          <m:rPr/>
          <w:rPr>
            <w:rFonts w:ascii="Cambria Math" w:hAnsi="Cambria Math"/>
            <w:sz w:val="22"/>
            <w:szCs w:val="22"/>
          </w:rPr>
          <m:t>= 0.018359</m:t>
        </m:r>
      </m:oMath>
      <w:r>
        <w:rPr>
          <w:rFonts w:ascii="Century Schoolbook" w:hAnsi="Century Schoolbook" w:eastAsiaTheme="minorEastAsia"/>
          <w:sz w:val="22"/>
          <w:szCs w:val="22"/>
        </w:rPr>
        <w:t xml:space="preserve">. This estimate shows the expected difference in the quadratic growth term between Black students and white students. In particular, this estimate means that Black students’ growth trajectory is predicted to decelerate slightly less quick than for white students. </w:t>
      </w:r>
      <w:r>
        <w:rPr>
          <w:rFonts w:ascii="Century Schoolbook" w:hAnsi="Century Schoolbook"/>
          <w:sz w:val="22"/>
          <w:szCs w:val="22"/>
        </w:rPr>
        <w:t xml:space="preserve">However,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0.148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210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3344A67B">
      <w:pPr>
        <w:pStyle w:val="50"/>
        <w:shd w:val="clear" w:color="auto" w:fill="FFFFFF" w:themeFill="background1"/>
        <w:ind w:firstLine="720"/>
        <w:rPr>
          <w:rFonts w:ascii="Century Schoolbook" w:hAnsi="Century Schoolbook" w:eastAsiaTheme="minorEastAsia"/>
          <w:sz w:val="22"/>
          <w:szCs w:val="22"/>
        </w:rPr>
      </w:pPr>
      <w:r>
        <w:rPr>
          <w:rStyle w:val="49"/>
          <w:rFonts w:ascii="Century Schoolbook" w:hAnsi="Century Schoolbook"/>
          <w:szCs w:val="22"/>
        </w:rPr>
        <w:t xml:space="preserve">The quadratic model output shows a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220</m:t>
            </m:r>
            <m:ctrlPr>
              <w:rPr>
                <w:rFonts w:ascii="Cambria Math" w:hAnsi="Cambria Math"/>
                <w:sz w:val="22"/>
                <w:szCs w:val="22"/>
              </w:rPr>
            </m:ctrlPr>
          </m:sub>
        </m:sSub>
        <m:r>
          <m:rPr/>
          <w:rPr>
            <w:rFonts w:ascii="Cambria Math" w:hAnsi="Cambria Math"/>
            <w:sz w:val="22"/>
            <w:szCs w:val="22"/>
          </w:rPr>
          <m:t>= 0.005424</m:t>
        </m:r>
      </m:oMath>
      <w:r>
        <w:rPr>
          <w:rFonts w:ascii="Century Schoolbook" w:hAnsi="Century Schoolbook" w:eastAsiaTheme="minorEastAsia"/>
          <w:sz w:val="22"/>
          <w:szCs w:val="22"/>
        </w:rPr>
        <w:t xml:space="preserve">. This estimate shows the expected difference in the quadratic growth term between Hispanic students and white students. In particular, this estimate means that Hispanic students’ growth trajectory is predicted to decelerate slightly less quick than for white students. </w:t>
      </w:r>
      <w:r>
        <w:rPr>
          <w:rFonts w:ascii="Century Schoolbook" w:hAnsi="Century Schoolbook"/>
          <w:sz w:val="22"/>
          <w:szCs w:val="22"/>
        </w:rPr>
        <w:t xml:space="preserve">However,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0.691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220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72381FCF">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eastAsiaTheme="minorEastAsia"/>
          <w:sz w:val="22"/>
          <w:szCs w:val="22"/>
        </w:rPr>
        <w:t xml:space="preserve">The </w:t>
      </w:r>
      <m:oMath>
        <m:r>
          <m:rPr/>
          <w:rPr>
            <w:rFonts w:ascii="Cambria Math" w:hAnsi="Cambria Math"/>
            <w:sz w:val="22"/>
            <w:szCs w:val="22"/>
          </w:rPr>
          <m:t>γ</m:t>
        </m:r>
      </m:oMath>
      <w:r>
        <w:rPr>
          <w:rFonts w:ascii="Century Schoolbook" w:hAnsi="Century Schoolbook" w:eastAsiaTheme="minorEastAsia"/>
          <w:sz w:val="22"/>
          <w:szCs w:val="22"/>
        </w:rPr>
        <w:t xml:space="preserve">’s of the model suggest that there </w:t>
      </w:r>
      <w:r>
        <w:rPr>
          <w:rFonts w:ascii="Century Schoolbook" w:hAnsi="Century Schoolbook" w:eastAsiaTheme="minorEastAsia"/>
          <w:i/>
          <w:iCs/>
          <w:sz w:val="22"/>
          <w:szCs w:val="22"/>
        </w:rPr>
        <w:t>are</w:t>
      </w:r>
      <w:r>
        <w:rPr>
          <w:rFonts w:ascii="Century Schoolbook" w:hAnsi="Century Schoolbook" w:eastAsiaTheme="minorEastAsia"/>
          <w:sz w:val="22"/>
          <w:szCs w:val="22"/>
        </w:rPr>
        <w:t xml:space="preserve"> meaningful differences in the initial math achievement scores between white students, Black students, and Hispanic students. To begin, consider the expected growth rate for white students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 0.836232).</m:t>
        </m:r>
      </m:oMath>
      <w:r>
        <w:rPr>
          <w:rFonts w:ascii="Century Schoolbook" w:hAnsi="Century Schoolbook" w:eastAsiaTheme="minorEastAsia"/>
          <w:sz w:val="22"/>
          <w:szCs w:val="22"/>
        </w:rPr>
        <w:t xml:space="preserve"> Compared to Black students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 −0.066526)</m:t>
        </m:r>
      </m:oMath>
      <w:r>
        <w:rPr>
          <w:rFonts w:ascii="Century Schoolbook" w:hAnsi="Century Schoolbook" w:eastAsiaTheme="minorEastAsia"/>
          <w:sz w:val="22"/>
          <w:szCs w:val="22"/>
        </w:rPr>
        <w:t xml:space="preserve">, so 0.836232 − 0.066526 = 0.769706 as a growth rate], white students are expected to receive higher math achievement scores as the years pass. While this model also included estimates for Hispanic students, given that the estimates were not found to be statistically significant, they have been omitted from discussion. Still, however, the </w:t>
      </w:r>
      <w:r>
        <w:rPr>
          <w:rFonts w:ascii="Century Schoolbook" w:hAnsi="Century Schoolbook" w:eastAsiaTheme="minorEastAsia"/>
          <w:i/>
          <w:iCs/>
          <w:sz w:val="22"/>
          <w:szCs w:val="22"/>
        </w:rPr>
        <w:t>non-significant**</w:t>
      </w:r>
      <w:r>
        <w:rPr>
          <w:rFonts w:ascii="Century Schoolbook" w:hAnsi="Century Schoolbook" w:eastAsiaTheme="minorEastAsia"/>
          <w:sz w:val="22"/>
          <w:szCs w:val="22"/>
        </w:rPr>
        <w:t xml:space="preserve"> estimates showed that Hispanic students appear to have a higher estimated growth rate in comparison to white students. </w:t>
      </w:r>
    </w:p>
    <w:p w14:paraId="6EACF185">
      <w:pPr>
        <w:pStyle w:val="50"/>
        <w:shd w:val="clear" w:color="auto" w:fill="FFFFFF" w:themeFill="background1"/>
        <w:rPr>
          <w:rFonts w:ascii="Century Schoolbook" w:hAnsi="Century Schoolbook"/>
          <w:sz w:val="22"/>
          <w:szCs w:val="22"/>
        </w:rPr>
      </w:pPr>
    </w:p>
    <w:p w14:paraId="4E729C1D">
      <w:pPr>
        <w:pStyle w:val="3"/>
        <w:ind w:left="-360" w:hanging="360"/>
        <w:rPr>
          <w:rStyle w:val="49"/>
          <w:rFonts w:ascii="Century Schoolbook" w:hAnsi="Century Schoolbook"/>
          <w:szCs w:val="22"/>
        </w:rPr>
      </w:pPr>
    </w:p>
    <w:p w14:paraId="1819CD1A">
      <w:pPr>
        <w:pStyle w:val="3"/>
        <w:ind w:left="-360" w:hanging="360"/>
        <w:jc w:val="center"/>
        <w:rPr>
          <w:rStyle w:val="49"/>
          <w:rFonts w:ascii="Century Schoolbook" w:hAnsi="Century Schoolbook"/>
          <w:b/>
          <w:bCs/>
          <w:szCs w:val="22"/>
        </w:rPr>
      </w:pPr>
    </w:p>
    <w:p w14:paraId="4C6012C0">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 xml:space="preserve">3.   </w:t>
      </w:r>
      <w:r>
        <w:rPr>
          <w:rFonts w:ascii="Century Schoolbook" w:hAnsi="Century Schoolbook"/>
          <w:b/>
          <w:bCs/>
          <w:sz w:val="22"/>
          <w:szCs w:val="22"/>
          <w:highlight w:val="red"/>
        </w:rPr>
        <w:t>Create a model graph of the average trajectories and describe what you see in the graph. (Note: In this data, Black and Hispanic are mutually exclusive categories, so you can ignore a model-based prediction for students that are both).</w:t>
      </w:r>
    </w:p>
    <w:p w14:paraId="0518A24A">
      <w:pPr>
        <w:pStyle w:val="50"/>
        <w:shd w:val="clear" w:color="auto" w:fill="FFFFFF" w:themeFill="background1"/>
        <w:ind w:left="-360" w:hanging="360"/>
        <w:jc w:val="center"/>
        <w:rPr>
          <w:rFonts w:ascii="Century Schoolbook" w:hAnsi="Century Schoolbook"/>
          <w:b/>
          <w:bCs/>
          <w:sz w:val="22"/>
          <w:szCs w:val="22"/>
        </w:rPr>
      </w:pPr>
      <w:r>
        <w:rPr>
          <w:rFonts w:ascii="Century Schoolbook" w:hAnsi="Century Schoolbook"/>
          <w:b/>
          <w:bCs/>
          <w:sz w:val="22"/>
          <w:szCs w:val="22"/>
        </w:rPr>
        <w:drawing>
          <wp:inline distT="0" distB="0" distL="0" distR="0">
            <wp:extent cx="5024755" cy="3355975"/>
            <wp:effectExtent l="0" t="0" r="4445" b="9525"/>
            <wp:docPr id="981361374" name="Picture 1" descr="The image is a graph or chart comparing values of two variables (possibly racial demographics or statistics) across different years, showing a negative trend for one variable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1374" name="Picture 1" descr="The image is a graph or chart comparing values of two variables (possibly racial demographics or statistics) across different years, showing a negative trend for one variable over time.&#10;&#10;AI-generated content may be incorrect."/>
                    <pic:cNvPicPr>
                      <a:picLocks noChangeAspect="1"/>
                    </pic:cNvPicPr>
                  </pic:nvPicPr>
                  <pic:blipFill>
                    <a:blip r:embed="rId6"/>
                    <a:stretch>
                      <a:fillRect/>
                    </a:stretch>
                  </pic:blipFill>
                  <pic:spPr>
                    <a:xfrm>
                      <a:off x="0" y="0"/>
                      <a:ext cx="5041202" cy="3367265"/>
                    </a:xfrm>
                    <a:prstGeom prst="rect">
                      <a:avLst/>
                    </a:prstGeom>
                  </pic:spPr>
                </pic:pic>
              </a:graphicData>
            </a:graphic>
          </wp:inline>
        </w:drawing>
      </w:r>
    </w:p>
    <w:p w14:paraId="1E1873EC">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ab/>
      </w:r>
      <w:r>
        <w:rPr>
          <w:rFonts w:ascii="Century Schoolbook" w:hAnsi="Century Schoolbook"/>
          <w:b/>
          <w:bCs/>
          <w:sz w:val="22"/>
          <w:szCs w:val="22"/>
        </w:rPr>
        <w:tab/>
      </w:r>
      <w:r>
        <w:drawing>
          <wp:inline distT="0" distB="0" distL="114300" distR="114300">
            <wp:extent cx="4826000" cy="2743200"/>
            <wp:effectExtent l="4445" t="4445" r="8255" b="8255"/>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EF3A6C1">
      <w:pPr>
        <w:pStyle w:val="50"/>
        <w:shd w:val="clear" w:color="auto" w:fill="FFFFFF" w:themeFill="background1"/>
        <w:ind w:left="-310" w:leftChars="-129" w:firstLine="1430" w:firstLineChars="650"/>
        <w:rPr>
          <w:rFonts w:hint="default" w:ascii="Century Schoolbook" w:hAnsi="Century Schoolbook"/>
          <w:sz w:val="22"/>
          <w:szCs w:val="22"/>
          <w:highlight w:val="green"/>
          <w:lang w:val="en-US" w:eastAsia="zh-CN"/>
        </w:rPr>
      </w:pPr>
      <w:r>
        <w:rPr>
          <w:rFonts w:hint="eastAsia" w:ascii="Century Schoolbook" w:hAnsi="Century Schoolbook"/>
          <w:sz w:val="22"/>
          <w:szCs w:val="22"/>
          <w:highlight w:val="green"/>
          <w:lang w:val="en-US" w:eastAsia="zh-CN"/>
        </w:rPr>
        <w:t>My pic looks like this but it seems mine is wrong.</w:t>
      </w:r>
    </w:p>
    <w:p w14:paraId="616CC10F">
      <w:pPr>
        <w:pStyle w:val="50"/>
        <w:shd w:val="clear" w:color="auto" w:fill="FFFFFF" w:themeFill="background1"/>
        <w:ind w:left="-310" w:leftChars="-129" w:firstLine="330" w:firstLineChars="150"/>
        <w:rPr>
          <w:rFonts w:ascii="Century Schoolbook" w:hAnsi="Century Schoolbook"/>
          <w:sz w:val="22"/>
          <w:szCs w:val="22"/>
        </w:rPr>
      </w:pPr>
      <w:r>
        <w:rPr>
          <w:rFonts w:ascii="Century Schoolbook" w:hAnsi="Century Schoolbook"/>
          <w:sz w:val="22"/>
          <w:szCs w:val="22"/>
        </w:rPr>
        <w:t xml:space="preserve">The model graph shows the average predicted math achievement score trajectories over time for each student group. At first glance, the graph shows that math achievement scores increase over time for all groups, regardless of their ethnicity. Upon closer inspection, however, it becomes clear that white students have the highest predicted math achievement score trajectory, while Black students have the lowest. Hispanic students fall between these two groups, but for the reasons noted in Part 2, these estimates will be taken with caution given their lack of statistical significance. </w:t>
      </w:r>
    </w:p>
    <w:p w14:paraId="2B62E732">
      <w:pPr>
        <w:pStyle w:val="50"/>
        <w:shd w:val="clear" w:color="auto" w:fill="FFFFFF" w:themeFill="background1"/>
        <w:ind w:left="-360" w:firstLine="360"/>
        <w:rPr>
          <w:rFonts w:ascii="Century Schoolbook" w:hAnsi="Century Schoolbook"/>
          <w:sz w:val="22"/>
          <w:szCs w:val="22"/>
        </w:rPr>
      </w:pPr>
      <w:r>
        <w:rPr>
          <w:rFonts w:ascii="Century Schoolbook" w:hAnsi="Century Schoolbook"/>
          <w:sz w:val="22"/>
          <w:szCs w:val="22"/>
        </w:rPr>
        <w:t xml:space="preserve">Interestingly, the graph also shows that the students’ groups do not begin at the same level. Black students and Hispanic students have lower predicted math achievement scores at the beginning of the time period. The trajectories remain separated, even as time continues, which suggests that the initial achievement gap between white students and POC students remains present over time. </w:t>
      </w:r>
    </w:p>
    <w:p w14:paraId="747C815A">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 xml:space="preserve">4.   You allowed only three terms to vary in your level-3 model. Explain what this means for your analysis. What are you assuming? </w:t>
      </w:r>
    </w:p>
    <w:p w14:paraId="76A2FA9E">
      <w:pPr>
        <w:pStyle w:val="50"/>
        <w:shd w:val="clear" w:color="auto" w:fill="FFFFFF" w:themeFill="background1"/>
        <w:ind w:left="-360" w:hanging="360"/>
        <w:rPr>
          <w:rFonts w:ascii="Century Schoolbook" w:hAnsi="Century Schoolbook"/>
          <w:sz w:val="22"/>
          <w:szCs w:val="22"/>
        </w:rPr>
      </w:pPr>
      <w:r>
        <w:rPr>
          <w:rFonts w:ascii="Century Schoolbook" w:hAnsi="Century Schoolbook"/>
          <w:b/>
          <w:bCs/>
          <w:sz w:val="22"/>
          <w:szCs w:val="22"/>
        </w:rPr>
        <w:tab/>
      </w:r>
      <w:r>
        <w:rPr>
          <w:rFonts w:ascii="Century Schoolbook" w:hAnsi="Century Schoolbook"/>
          <w:b/>
          <w:bCs/>
          <w:sz w:val="22"/>
          <w:szCs w:val="22"/>
        </w:rPr>
        <w:tab/>
      </w:r>
      <w:r>
        <w:rPr>
          <w:rFonts w:ascii="Century Schoolbook" w:hAnsi="Century Schoolbook"/>
          <w:sz w:val="22"/>
          <w:szCs w:val="22"/>
        </w:rPr>
        <w:t>Since we allowed only three terms to vary in the level-3 model, namely the intercept for the baseline and the first two variables, we have assumptions for this. First, by checking the variance components and their p-values, we notice that there are statistical strong evidences that they vary, which means we are testing to see whether we have a case of homogeneity, and we appear to be having a case of heterogeneity. Second, we may do this to nested data to ensure no underestimation for the for the standard errors, which prevents type 1 errors. Finally, we might be trying to do a hypothesis testing to see if the variances do vary and if they are worth adding to the model since their effect size might be important.</w:t>
      </w:r>
    </w:p>
    <w:p w14:paraId="4C067207">
      <w:pPr>
        <w:pStyle w:val="50"/>
        <w:shd w:val="clear" w:color="auto" w:fill="FFFFFF" w:themeFill="background1"/>
        <w:ind w:left="-360" w:hanging="360"/>
        <w:rPr>
          <w:rFonts w:ascii="Century Schoolbook" w:hAnsi="Century Schoolbook"/>
          <w:b/>
          <w:bCs/>
          <w:sz w:val="22"/>
          <w:szCs w:val="22"/>
        </w:rPr>
      </w:pPr>
    </w:p>
    <w:p w14:paraId="61C61BAA">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 xml:space="preserve">5.   Construct and interpret 95% plausible value intervals for the child-level variation in achievement for white students and the school-level variation in achievement for white students.  </w:t>
      </w:r>
    </w:p>
    <w:p w14:paraId="589DFBB6">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eastAsiaTheme="minorEastAsia"/>
              <w:sz w:val="22"/>
              <w:szCs w:val="22"/>
            </w:rPr>
            <m:t>Parameter+/− 1.96(SD)</m:t>
          </m:r>
        </m:oMath>
      </m:oMathPara>
    </w:p>
    <w:p w14:paraId="13C8E537">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eastAsiaTheme="minorEastAsia"/>
              <w:sz w:val="22"/>
              <w:szCs w:val="22"/>
            </w:rPr>
            <m:t>−0.261518+/− 1.96(0.86125) =(−1.949568, 1.426532)</m:t>
          </m:r>
        </m:oMath>
      </m:oMathPara>
    </w:p>
    <w:p w14:paraId="430513BC">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 xml:space="preserve">For the child-level variation in achievement for white students, the 95% plausible value interval is </w:t>
      </w:r>
      <m:oMath>
        <m:r>
          <m:rPr/>
          <w:rPr>
            <w:rFonts w:ascii="Cambria Math" w:hAnsi="Cambria Math" w:eastAsiaTheme="minorEastAsia"/>
            <w:sz w:val="22"/>
            <w:szCs w:val="22"/>
          </w:rPr>
          <m:t>(−1.949568, 1.426532)</m:t>
        </m:r>
      </m:oMath>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Thus, under the normality assumption</w:t>
      </w:r>
      <w:r>
        <w:rPr>
          <w:rFonts w:ascii="Century Schoolbook" w:hAnsi="Century Schoolbook" w:eastAsiaTheme="minorEastAsia"/>
          <w:sz w:val="22"/>
          <w:szCs w:val="22"/>
        </w:rPr>
        <w:t xml:space="preserve">, we would expect 95% of the child-level means of achievement for the white students to fall within ~-1.95 and ~1.43. </w:t>
      </w:r>
      <w:r>
        <w:rPr>
          <w:rFonts w:ascii="Century Schoolbook" w:hAnsi="Century Schoolbook" w:eastAsiaTheme="minorEastAsia"/>
          <w:sz w:val="22"/>
          <w:szCs w:val="22"/>
          <w:highlight w:val="yellow"/>
        </w:rPr>
        <w:t>Moreover, this range indicates a relatively small range in average achievement of the white students in the child-level</w:t>
      </w:r>
      <w:r>
        <w:rPr>
          <w:rFonts w:ascii="Century Schoolbook" w:hAnsi="Century Schoolbook" w:eastAsiaTheme="minorEastAsia"/>
          <w:sz w:val="22"/>
          <w:szCs w:val="22"/>
        </w:rPr>
        <w:t>.</w:t>
      </w:r>
    </w:p>
    <w:p w14:paraId="3B4C55ED">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eastAsiaTheme="minorEastAsia"/>
              <w:sz w:val="22"/>
              <w:szCs w:val="22"/>
            </w:rPr>
            <m:t>Parameter+/− 1.96(SD)</m:t>
          </m:r>
        </m:oMath>
      </m:oMathPara>
    </w:p>
    <w:p w14:paraId="7A893185">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eastAsiaTheme="minorEastAsia"/>
              <w:sz w:val="22"/>
              <w:szCs w:val="22"/>
            </w:rPr>
            <m:t>−0.261518+/− 1.96(0.35297) =(−0.9533392, 0.4303032)</m:t>
          </m:r>
        </m:oMath>
      </m:oMathPara>
    </w:p>
    <w:p w14:paraId="2BE7E5C5">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 xml:space="preserve">For the school-level variation in achievement for white students, the 95% plausible value interval is </w:t>
      </w:r>
      <m:oMath>
        <m:r>
          <m:rPr/>
          <w:rPr>
            <w:rFonts w:ascii="Cambria Math" w:hAnsi="Cambria Math" w:eastAsiaTheme="minorEastAsia"/>
            <w:sz w:val="22"/>
            <w:szCs w:val="22"/>
          </w:rPr>
          <m:t>(−0.9533392, 0.4303032)</m:t>
        </m:r>
      </m:oMath>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Thus, under the normality assumption</w:t>
      </w:r>
      <w:r>
        <w:rPr>
          <w:rFonts w:ascii="Century Schoolbook" w:hAnsi="Century Schoolbook" w:eastAsiaTheme="minorEastAsia"/>
          <w:sz w:val="22"/>
          <w:szCs w:val="22"/>
        </w:rPr>
        <w:t xml:space="preserve">, we expect 95% of the school-level means of math achievement for white students in </w:t>
      </w:r>
      <w:r>
        <w:rPr>
          <w:rFonts w:ascii="Century Schoolbook" w:hAnsi="Century Schoolbook" w:eastAsiaTheme="minorEastAsia"/>
          <w:sz w:val="22"/>
          <w:szCs w:val="22"/>
          <w:highlight w:val="red"/>
        </w:rPr>
        <w:t>the spring of 1st grade</w:t>
      </w:r>
      <w:r>
        <w:rPr>
          <w:rFonts w:ascii="Century Schoolbook" w:hAnsi="Century Schoolbook" w:eastAsiaTheme="minorEastAsia"/>
          <w:sz w:val="22"/>
          <w:szCs w:val="22"/>
        </w:rPr>
        <w:t xml:space="preserve"> to fall between ~-0.95 and ~0.43.</w:t>
      </w:r>
    </w:p>
    <w:p w14:paraId="20E08A2D">
      <w:pPr>
        <w:pStyle w:val="50"/>
        <w:shd w:val="clear" w:color="auto" w:fill="FFFFFF" w:themeFill="background1"/>
        <w:ind w:left="-360" w:hanging="360"/>
        <w:jc w:val="center"/>
        <w:rPr>
          <w:rFonts w:ascii="Century Schoolbook" w:hAnsi="Century Schoolbook"/>
          <w:b/>
          <w:bCs/>
          <w:sz w:val="22"/>
          <w:szCs w:val="22"/>
        </w:rPr>
      </w:pPr>
    </w:p>
    <w:p w14:paraId="38F49E9D">
      <w:pPr>
        <w:pStyle w:val="50"/>
        <w:shd w:val="clear" w:color="auto" w:fill="FFFFFF" w:themeFill="background1"/>
        <w:ind w:left="-360" w:hanging="360"/>
        <w:jc w:val="center"/>
        <w:rPr>
          <w:rFonts w:ascii="Century Schoolbook" w:hAnsi="Century Schoolbook"/>
          <w:b/>
          <w:bCs/>
          <w:sz w:val="22"/>
          <w:szCs w:val="22"/>
        </w:rPr>
      </w:pPr>
      <w:r>
        <w:rPr>
          <w:rFonts w:ascii="Century Schoolbook" w:hAnsi="Century Schoolbook"/>
          <w:b/>
          <w:bCs/>
          <w:sz w:val="22"/>
          <w:szCs w:val="22"/>
        </w:rPr>
        <w:t>Your second task is to re-estimate these results, controlling for the school’s poverty concentration (operationalized as the percentage of low-income students in the school, LOWINC).</w:t>
      </w:r>
    </w:p>
    <w:p w14:paraId="34FDB89D">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 xml:space="preserve">6.   Do you find evidence that school poverty concentration predicts a child’s growth rate? Present your revised model and its output. You do not need to interpret every coefficient, only relevant ones. </w:t>
      </w:r>
    </w:p>
    <w:p w14:paraId="485804E5">
      <w:pPr>
        <w:pStyle w:val="3"/>
        <w:ind w:left="-360" w:hanging="360"/>
        <w:rPr>
          <w:rFonts w:ascii="Century Schoolbook" w:hAnsi="Century Schoolbook"/>
          <w:i/>
          <w:iCs/>
          <w:sz w:val="22"/>
          <w:szCs w:val="22"/>
        </w:rPr>
      </w:pPr>
      <w:r>
        <w:rPr>
          <w:rFonts w:ascii="Century Schoolbook" w:hAnsi="Century Schoolbook"/>
          <w:i/>
          <w:iCs/>
          <w:sz w:val="22"/>
          <w:szCs w:val="22"/>
        </w:rPr>
        <w:t xml:space="preserve">Level One Model: </w:t>
      </w:r>
    </w:p>
    <w:p w14:paraId="73C0A89E">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MATH</m:t>
              </m:r>
              <m:ctrlPr>
                <w:rPr>
                  <w:rFonts w:ascii="Cambria Math" w:hAnsi="Cambria Math"/>
                  <w:sz w:val="22"/>
                  <w:szCs w:val="22"/>
                </w:rPr>
              </m:ctrlPr>
            </m:e>
            <m:sub>
              <m:r>
                <m:rPr/>
                <w:rPr>
                  <w:rFonts w:ascii="Cambria Math" w:hAnsi="Cambria Math"/>
                  <w:sz w:val="22"/>
                  <w:szCs w:val="22"/>
                </w:rPr>
                <m:t>tij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0ij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1ij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YEAR</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2i</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YEARSQ</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e</m:t>
              </m:r>
              <m:ctrlPr>
                <w:rPr>
                  <w:rFonts w:ascii="Cambria Math" w:hAnsi="Cambria Math"/>
                  <w:i/>
                  <w:sz w:val="22"/>
                  <w:szCs w:val="22"/>
                </w:rPr>
              </m:ctrlPr>
            </m:e>
            <m:sub>
              <m:r>
                <m:rPr/>
                <w:rPr>
                  <w:rFonts w:ascii="Cambria Math" w:hAnsi="Cambria Math"/>
                  <w:sz w:val="22"/>
                  <w:szCs w:val="22"/>
                </w:rPr>
                <m:t>tij</m:t>
              </m:r>
              <m:ctrlPr>
                <w:rPr>
                  <w:rFonts w:ascii="Cambria Math" w:hAnsi="Cambria Math"/>
                  <w:i/>
                  <w:sz w:val="22"/>
                  <w:szCs w:val="22"/>
                </w:rPr>
              </m:ctrlPr>
            </m:sub>
          </m:sSub>
        </m:oMath>
      </m:oMathPara>
    </w:p>
    <w:p w14:paraId="2E73AD09">
      <w:pPr>
        <w:pStyle w:val="3"/>
        <w:ind w:left="-360" w:hanging="360"/>
        <w:rPr>
          <w:rFonts w:ascii="Century Schoolbook" w:hAnsi="Century Schoolbook"/>
          <w:i/>
          <w:iCs/>
          <w:sz w:val="22"/>
          <w:szCs w:val="22"/>
        </w:rPr>
      </w:pPr>
      <w:r>
        <w:rPr>
          <w:rFonts w:ascii="Century Schoolbook" w:hAnsi="Century Schoolbook"/>
          <w:i/>
          <w:iCs/>
          <w:sz w:val="22"/>
          <w:szCs w:val="22"/>
        </w:rPr>
        <w:t xml:space="preserve">Level Two Model: </w:t>
      </w:r>
    </w:p>
    <w:p w14:paraId="26C1EEE3">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0ij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0ij</m:t>
              </m:r>
              <m:ctrlPr>
                <w:rPr>
                  <w:rFonts w:ascii="Cambria Math" w:hAnsi="Cambria Math"/>
                  <w:i/>
                  <w:sz w:val="22"/>
                  <w:szCs w:val="22"/>
                </w:rPr>
              </m:ctrlPr>
            </m:sub>
          </m:sSub>
        </m:oMath>
      </m:oMathPara>
    </w:p>
    <w:p w14:paraId="78F65247">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1ij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1ij</m:t>
              </m:r>
              <m:ctrlPr>
                <w:rPr>
                  <w:rFonts w:ascii="Cambria Math" w:hAnsi="Cambria Math"/>
                  <w:i/>
                  <w:sz w:val="22"/>
                  <w:szCs w:val="22"/>
                </w:rPr>
              </m:ctrlPr>
            </m:sub>
          </m:sSub>
        </m:oMath>
      </m:oMathPara>
    </w:p>
    <w:p w14:paraId="1CBF6981">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π</m:t>
              </m:r>
              <m:ctrlPr>
                <w:rPr>
                  <w:rFonts w:ascii="Cambria Math" w:hAnsi="Cambria Math"/>
                  <w:sz w:val="22"/>
                  <w:szCs w:val="22"/>
                </w:rPr>
              </m:ctrlPr>
            </m:e>
            <m:sub>
              <m:r>
                <m:rPr/>
                <w:rPr>
                  <w:rFonts w:ascii="Cambria Math" w:hAnsi="Cambria Math"/>
                  <w:sz w:val="22"/>
                  <w:szCs w:val="22"/>
                </w:rPr>
                <m:t>2ij</m:t>
              </m:r>
              <m:ctrlPr>
                <w:rPr>
                  <w:rFonts w:ascii="Cambria Math" w:hAnsi="Cambria Math"/>
                  <w:sz w:val="22"/>
                  <w:szCs w:val="22"/>
                </w:rPr>
              </m:ctrlPr>
            </m:sub>
          </m:sSub>
          <m:r>
            <m:rPr>
              <m:sty m:val="p"/>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20j</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21j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BLACK</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22j</m:t>
              </m:r>
              <m:ctrlPr>
                <w:rPr>
                  <w:rFonts w:ascii="Cambria Math" w:hAnsi="Cambria Math"/>
                  <w:sz w:val="22"/>
                  <w:szCs w:val="22"/>
                </w:rPr>
              </m:ctrlPr>
            </m:sub>
          </m:sSub>
          <m:r>
            <m:rP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HISPANIC</m:t>
                  </m:r>
                  <m:ctrlPr>
                    <w:rPr>
                      <w:rFonts w:ascii="Cambria Math" w:hAnsi="Cambria Math"/>
                      <w:i/>
                      <w:sz w:val="22"/>
                      <w:szCs w:val="22"/>
                    </w:rPr>
                  </m:ctrlPr>
                </m:e>
                <m:sub>
                  <m:r>
                    <m:rPr/>
                    <w:rPr>
                      <w:rFonts w:ascii="Cambria Math" w:hAnsi="Cambria Math"/>
                      <w:sz w:val="22"/>
                      <w:szCs w:val="22"/>
                    </w:rPr>
                    <m:t>ij</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r</m:t>
              </m:r>
              <m:ctrlPr>
                <w:rPr>
                  <w:rFonts w:ascii="Cambria Math" w:hAnsi="Cambria Math"/>
                  <w:i/>
                  <w:sz w:val="22"/>
                  <w:szCs w:val="22"/>
                </w:rPr>
              </m:ctrlPr>
            </m:e>
            <m:sub>
              <m:r>
                <m:rPr/>
                <w:rPr>
                  <w:rFonts w:ascii="Cambria Math" w:hAnsi="Cambria Math"/>
                  <w:sz w:val="22"/>
                  <w:szCs w:val="22"/>
                </w:rPr>
                <m:t>2ij</m:t>
              </m:r>
              <m:ctrlPr>
                <w:rPr>
                  <w:rFonts w:ascii="Cambria Math" w:hAnsi="Cambria Math"/>
                  <w:i/>
                  <w:sz w:val="22"/>
                  <w:szCs w:val="22"/>
                </w:rPr>
              </m:ctrlPr>
            </m:sub>
          </m:sSub>
        </m:oMath>
      </m:oMathPara>
    </w:p>
    <w:p w14:paraId="606D5010">
      <w:pPr>
        <w:pStyle w:val="3"/>
        <w:ind w:left="-360" w:hanging="360"/>
        <w:rPr>
          <w:rFonts w:ascii="Century Schoolbook" w:hAnsi="Century Schoolbook"/>
          <w:i/>
          <w:iCs/>
          <w:sz w:val="22"/>
          <w:szCs w:val="22"/>
        </w:rPr>
      </w:pPr>
      <w:r>
        <w:rPr>
          <w:rFonts w:ascii="Century Schoolbook" w:hAnsi="Century Schoolbook"/>
          <w:i/>
          <w:iCs/>
          <w:sz w:val="22"/>
          <w:szCs w:val="22"/>
        </w:rPr>
        <w:t xml:space="preserve">Level Three Model: </w:t>
      </w:r>
    </w:p>
    <w:p w14:paraId="5CA55DE3">
      <w:pPr>
        <w:pStyle w:val="50"/>
        <w:shd w:val="clear" w:color="auto" w:fill="FFFFFF" w:themeFill="background1"/>
        <w:jc w:val="center"/>
        <w:rPr>
          <w:rFonts w:ascii="Century Schoolbook" w:hAnsi="Century Schoolbook" w:eastAsiaTheme="minorEastAsia"/>
          <w:sz w:val="22"/>
          <w:szCs w:val="22"/>
        </w:rPr>
      </w:pPr>
      <m:oMathPara>
        <m:oMath>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001</m:t>
              </m:r>
              <m:ctrlPr>
                <w:rPr>
                  <w:rFonts w:ascii="Cambria Math" w:hAnsi="Cambria Math"/>
                  <w:sz w:val="22"/>
                  <w:szCs w:val="22"/>
                </w:rPr>
              </m:ctrlPr>
            </m:sub>
          </m:sSub>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LOWINC</m:t>
                  </m:r>
                  <m:ctrlPr>
                    <w:rPr>
                      <w:rFonts w:ascii="Cambria Math" w:hAnsi="Cambria Math"/>
                      <w:i/>
                      <w:sz w:val="22"/>
                      <w:szCs w:val="22"/>
                    </w:rPr>
                  </m:ctrlPr>
                </m:e>
                <m:sub>
                  <m:r>
                    <m:rPr/>
                    <w:rPr>
                      <w:rFonts w:ascii="Cambria Math" w:hAnsi="Cambria Math"/>
                      <w:sz w:val="22"/>
                      <w:szCs w:val="22"/>
                    </w:rPr>
                    <m:t>i</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00j</m:t>
              </m:r>
              <m:ctrlPr>
                <w:rPr>
                  <w:rFonts w:ascii="Cambria Math" w:hAnsi="Cambria Math"/>
                  <w:i/>
                  <w:sz w:val="22"/>
                  <w:szCs w:val="22"/>
                </w:rPr>
              </m:ctrlPr>
            </m:sub>
          </m:sSub>
        </m:oMath>
      </m:oMathPara>
    </w:p>
    <w:p w14:paraId="4F0FB2C4">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010</m:t>
              </m:r>
              <m:ctrlPr>
                <w:rPr>
                  <w:rFonts w:ascii="Cambria Math" w:hAnsi="Cambria Math"/>
                  <w:sz w:val="22"/>
                  <w:szCs w:val="22"/>
                </w:rPr>
              </m:ctrlPr>
            </m:sub>
          </m:sSub>
        </m:oMath>
      </m:oMathPara>
    </w:p>
    <w:p w14:paraId="2849F939">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020</m:t>
              </m:r>
              <m:ctrlPr>
                <w:rPr>
                  <w:rFonts w:ascii="Cambria Math" w:hAnsi="Cambria Math"/>
                  <w:sz w:val="22"/>
                  <w:szCs w:val="22"/>
                </w:rPr>
              </m:ctrlPr>
            </m:sub>
          </m:sSub>
        </m:oMath>
      </m:oMathPara>
    </w:p>
    <w:p w14:paraId="38EAC863">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101</m:t>
              </m:r>
              <m:ctrlPr>
                <w:rPr>
                  <w:rFonts w:ascii="Cambria Math" w:hAnsi="Cambria Math"/>
                  <w:sz w:val="22"/>
                  <w:szCs w:val="22"/>
                </w:rPr>
              </m:ctrlPr>
            </m:sub>
          </m:sSub>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LOWINC</m:t>
                  </m:r>
                  <m:ctrlPr>
                    <w:rPr>
                      <w:rFonts w:ascii="Cambria Math" w:hAnsi="Cambria Math"/>
                      <w:i/>
                      <w:sz w:val="22"/>
                      <w:szCs w:val="22"/>
                    </w:rPr>
                  </m:ctrlPr>
                </m:e>
                <m:sub>
                  <m:r>
                    <m:rPr/>
                    <w:rPr>
                      <w:rFonts w:ascii="Cambria Math" w:hAnsi="Cambria Math"/>
                      <w:sz w:val="22"/>
                      <w:szCs w:val="22"/>
                    </w:rPr>
                    <m:t>i</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10j</m:t>
              </m:r>
              <m:ctrlPr>
                <w:rPr>
                  <w:rFonts w:ascii="Cambria Math" w:hAnsi="Cambria Math"/>
                  <w:i/>
                  <w:sz w:val="22"/>
                  <w:szCs w:val="22"/>
                </w:rPr>
              </m:ctrlPr>
            </m:sub>
          </m:sSub>
        </m:oMath>
      </m:oMathPara>
    </w:p>
    <w:p w14:paraId="22165F26">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oMath>
      </m:oMathPara>
    </w:p>
    <w:p w14:paraId="4F4CFED5">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120</m:t>
              </m:r>
              <m:ctrlPr>
                <w:rPr>
                  <w:rFonts w:ascii="Cambria Math" w:hAnsi="Cambria Math"/>
                  <w:sz w:val="22"/>
                  <w:szCs w:val="22"/>
                </w:rPr>
              </m:ctrlPr>
            </m:sub>
          </m:sSub>
        </m:oMath>
      </m:oMathPara>
    </w:p>
    <w:p w14:paraId="57D91CE6">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200</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i/>
                  <w:sz w:val="22"/>
                  <w:szCs w:val="22"/>
                </w:rPr>
              </m:ctrlPr>
            </m:sSubPr>
            <m:e>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201</m:t>
                  </m:r>
                  <m:ctrlPr>
                    <w:rPr>
                      <w:rFonts w:ascii="Cambria Math" w:hAnsi="Cambria Math"/>
                      <w:sz w:val="22"/>
                      <w:szCs w:val="22"/>
                    </w:rPr>
                  </m:ctrlPr>
                </m:sub>
              </m:sSub>
              <m:d>
                <m:dPr>
                  <m:ctrlPr>
                    <w:rPr>
                      <w:rFonts w:ascii="Cambria Math" w:hAnsi="Cambria Math"/>
                      <w:i/>
                      <w:sz w:val="22"/>
                      <w:szCs w:val="22"/>
                    </w:rPr>
                  </m:ctrlPr>
                </m:dPr>
                <m:e>
                  <m:sSub>
                    <m:sSubPr>
                      <m:ctrlPr>
                        <w:rPr>
                          <w:rFonts w:ascii="Cambria Math" w:hAnsi="Cambria Math"/>
                          <w:i/>
                          <w:sz w:val="22"/>
                          <w:szCs w:val="22"/>
                        </w:rPr>
                      </m:ctrlPr>
                    </m:sSubPr>
                    <m:e>
                      <m:r>
                        <m:rPr/>
                        <w:rPr>
                          <w:rFonts w:ascii="Cambria Math" w:hAnsi="Cambria Math"/>
                          <w:sz w:val="22"/>
                          <w:szCs w:val="22"/>
                        </w:rPr>
                        <m:t>LOWINC</m:t>
                      </m:r>
                      <m:ctrlPr>
                        <w:rPr>
                          <w:rFonts w:ascii="Cambria Math" w:hAnsi="Cambria Math"/>
                          <w:i/>
                          <w:sz w:val="22"/>
                          <w:szCs w:val="22"/>
                        </w:rPr>
                      </m:ctrlPr>
                    </m:e>
                    <m:sub>
                      <m:r>
                        <m:rPr/>
                        <w:rPr>
                          <w:rFonts w:ascii="Cambria Math" w:hAnsi="Cambria Math"/>
                          <w:sz w:val="22"/>
                          <w:szCs w:val="22"/>
                        </w:rPr>
                        <m:t>i</m:t>
                      </m:r>
                      <m:ctrlPr>
                        <w:rPr>
                          <w:rFonts w:ascii="Cambria Math" w:hAnsi="Cambria Math"/>
                          <w:i/>
                          <w:sz w:val="22"/>
                          <w:szCs w:val="22"/>
                        </w:rPr>
                      </m:ctrlPr>
                    </m:sub>
                  </m:sSub>
                  <m:ctrlPr>
                    <w:rPr>
                      <w:rFonts w:ascii="Cambria Math" w:hAnsi="Cambria Math"/>
                      <w:i/>
                      <w:sz w:val="22"/>
                      <w:szCs w:val="22"/>
                    </w:rPr>
                  </m:ctrlPr>
                </m:e>
              </m:d>
              <m:r>
                <m:rPr/>
                <w:rPr>
                  <w:rFonts w:ascii="Cambria Math" w:hAnsi="Cambria Math"/>
                  <w:sz w:val="22"/>
                  <w:szCs w:val="22"/>
                </w:rPr>
                <m:t>+u</m:t>
              </m:r>
              <m:ctrlPr>
                <w:rPr>
                  <w:rFonts w:ascii="Cambria Math" w:hAnsi="Cambria Math"/>
                  <w:i/>
                  <w:sz w:val="22"/>
                  <w:szCs w:val="22"/>
                </w:rPr>
              </m:ctrlPr>
            </m:e>
            <m:sub>
              <m:r>
                <m:rPr/>
                <w:rPr>
                  <w:rFonts w:ascii="Cambria Math" w:hAnsi="Cambria Math"/>
                  <w:sz w:val="22"/>
                  <w:szCs w:val="22"/>
                </w:rPr>
                <m:t>20j</m:t>
              </m:r>
              <m:ctrlPr>
                <w:rPr>
                  <w:rFonts w:ascii="Cambria Math" w:hAnsi="Cambria Math"/>
                  <w:i/>
                  <w:sz w:val="22"/>
                  <w:szCs w:val="22"/>
                </w:rPr>
              </m:ctrlPr>
            </m:sub>
          </m:sSub>
        </m:oMath>
      </m:oMathPara>
    </w:p>
    <w:p w14:paraId="3F36967F">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21j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210</m:t>
              </m:r>
              <m:ctrlPr>
                <w:rPr>
                  <w:rFonts w:ascii="Cambria Math" w:hAnsi="Cambria Math"/>
                  <w:sz w:val="22"/>
                  <w:szCs w:val="22"/>
                </w:rPr>
              </m:ctrlPr>
            </m:sub>
          </m:sSub>
        </m:oMath>
      </m:oMathPara>
    </w:p>
    <w:p w14:paraId="2C38520A">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22j</m:t>
              </m:r>
              <m:ctrlPr>
                <w:rPr>
                  <w:rFonts w:ascii="Cambria Math" w:hAnsi="Cambria Math"/>
                  <w:sz w:val="22"/>
                  <w:szCs w:val="22"/>
                </w:rPr>
              </m:ctrlPr>
            </m:sub>
          </m:sSub>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220</m:t>
              </m:r>
              <m:ctrlPr>
                <w:rPr>
                  <w:rFonts w:ascii="Cambria Math" w:hAnsi="Cambria Math"/>
                  <w:sz w:val="22"/>
                  <w:szCs w:val="22"/>
                </w:rPr>
              </m:ctrlPr>
            </m:sub>
          </m:sSub>
        </m:oMath>
      </m:oMathPara>
    </w:p>
    <w:p w14:paraId="11A2D28A">
      <w:pPr>
        <w:pStyle w:val="50"/>
        <w:shd w:val="clear" w:color="auto" w:fill="FFFFFF" w:themeFill="background1"/>
        <w:jc w:val="center"/>
        <w:rPr>
          <w:rFonts w:ascii="Century Schoolbook" w:hAnsi="Century Schoolbook" w:eastAsiaTheme="minorEastAsia"/>
          <w:sz w:val="22"/>
          <w:szCs w:val="22"/>
        </w:rPr>
      </w:pPr>
    </w:p>
    <w:p w14:paraId="065516A1">
      <w:pPr>
        <w:pStyle w:val="50"/>
        <w:shd w:val="clear" w:color="auto" w:fill="FFFFFF" w:themeFill="background1"/>
        <w:ind w:left="-360" w:hanging="360"/>
        <w:rPr>
          <w:rFonts w:ascii="Century Schoolbook" w:hAnsi="Century Schoolbook"/>
          <w:b/>
          <w:bCs/>
          <w:sz w:val="22"/>
          <w:szCs w:val="22"/>
        </w:rPr>
      </w:pPr>
    </w:p>
    <w:p w14:paraId="4BC3A5C0">
      <w:pPr>
        <w:pStyle w:val="50"/>
        <w:shd w:val="clear" w:color="auto" w:fill="FFFFFF" w:themeFill="background1"/>
        <w:ind w:left="-360" w:hanging="360"/>
        <w:jc w:val="center"/>
        <w:rPr>
          <w:rFonts w:ascii="Century Schoolbook" w:hAnsi="Century Schoolbook"/>
          <w:b/>
          <w:bCs/>
          <w:sz w:val="22"/>
          <w:szCs w:val="22"/>
        </w:rPr>
      </w:pPr>
      <w:r>
        <w:rPr>
          <w:rFonts w:ascii="Century Schoolbook" w:hAnsi="Century Schoolbook"/>
          <w:b/>
          <w:bCs/>
          <w:sz w:val="22"/>
          <w:szCs w:val="22"/>
        </w:rPr>
        <w:drawing>
          <wp:inline distT="0" distB="0" distL="0" distR="0">
            <wp:extent cx="5001260" cy="5607050"/>
            <wp:effectExtent l="0" t="0" r="0" b="0"/>
            <wp:docPr id="1135543797" name="Picture 1" descr="The image displays a table presenting the final estimation of fixed effects with robust standard errors, including coefficients, t-ratios, degrees of freedom (d.f.), and p-values for various variables such as INTRCPT1, INTRCPT2, BLACK, HISPANIC, and YEARSQ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3797" name="Picture 1" descr="The image displays a table presenting the final estimation of fixed effects with robust standard errors, including coefficients, t-ratios, degrees of freedom (d.f.), and p-values for various variables such as INTRCPT1, INTRCPT2, BLACK, HISPANIC, and YEARSQ slope.&#10;&#10;AI-generated content may be incorrect."/>
                    <pic:cNvPicPr>
                      <a:picLocks noChangeAspect="1"/>
                    </pic:cNvPicPr>
                  </pic:nvPicPr>
                  <pic:blipFill>
                    <a:blip r:embed="rId8"/>
                    <a:stretch>
                      <a:fillRect/>
                    </a:stretch>
                  </pic:blipFill>
                  <pic:spPr>
                    <a:xfrm>
                      <a:off x="0" y="0"/>
                      <a:ext cx="5017152" cy="5624999"/>
                    </a:xfrm>
                    <a:prstGeom prst="rect">
                      <a:avLst/>
                    </a:prstGeom>
                  </pic:spPr>
                </pic:pic>
              </a:graphicData>
            </a:graphic>
          </wp:inline>
        </w:drawing>
      </w:r>
    </w:p>
    <w:p w14:paraId="3E0D5068">
      <w:pPr>
        <w:pStyle w:val="50"/>
        <w:shd w:val="clear" w:color="auto" w:fill="FFFFFF" w:themeFill="background1"/>
        <w:ind w:left="-360" w:hanging="360"/>
        <w:jc w:val="center"/>
        <w:rPr>
          <w:rFonts w:ascii="Century Schoolbook" w:hAnsi="Century Schoolbook"/>
          <w:b/>
          <w:bCs/>
          <w:sz w:val="22"/>
          <w:szCs w:val="22"/>
        </w:rPr>
      </w:pPr>
      <w:r>
        <w:rPr>
          <w:rFonts w:ascii="Century Schoolbook" w:hAnsi="Century Schoolbook"/>
          <w:b/>
          <w:bCs/>
          <w:sz w:val="22"/>
          <w:szCs w:val="22"/>
        </w:rPr>
        <w:drawing>
          <wp:inline distT="0" distB="0" distL="0" distR="0">
            <wp:extent cx="4985385" cy="4486910"/>
            <wp:effectExtent l="0" t="0" r="0" b="0"/>
            <wp:docPr id="883103312" name="Picture 1" descr="The image displays a statistical table presenting the final estimation of variance components for a model, including fixed effects, random effects, and their respective chi-square statistics and degrees of free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03312" name="Picture 1" descr="The image displays a statistical table presenting the final estimation of variance components for a model, including fixed effects, random effects, and their respective chi-square statistics and degrees of freedom.&#10;&#10;AI-generated content may be incorrect."/>
                    <pic:cNvPicPr>
                      <a:picLocks noChangeAspect="1"/>
                    </pic:cNvPicPr>
                  </pic:nvPicPr>
                  <pic:blipFill>
                    <a:blip r:embed="rId9"/>
                    <a:stretch>
                      <a:fillRect/>
                    </a:stretch>
                  </pic:blipFill>
                  <pic:spPr>
                    <a:xfrm>
                      <a:off x="0" y="0"/>
                      <a:ext cx="4998532" cy="4499213"/>
                    </a:xfrm>
                    <a:prstGeom prst="rect">
                      <a:avLst/>
                    </a:prstGeom>
                  </pic:spPr>
                </pic:pic>
              </a:graphicData>
            </a:graphic>
          </wp:inline>
        </w:drawing>
      </w:r>
    </w:p>
    <w:p w14:paraId="361F161E">
      <w:pPr>
        <w:pStyle w:val="50"/>
        <w:shd w:val="clear" w:color="auto" w:fill="FFFFFF" w:themeFill="background1"/>
        <w:ind w:left="-360" w:hanging="360"/>
        <w:rPr>
          <w:rFonts w:ascii="Century Schoolbook" w:hAnsi="Century Schoolbook"/>
          <w:sz w:val="22"/>
          <w:szCs w:val="22"/>
        </w:rPr>
      </w:pPr>
      <w:r>
        <w:rPr>
          <w:rFonts w:ascii="Century Schoolbook" w:hAnsi="Century Schoolbook"/>
          <w:b/>
          <w:bCs/>
          <w:sz w:val="22"/>
          <w:szCs w:val="22"/>
        </w:rPr>
        <w:tab/>
      </w:r>
      <w:r>
        <w:rPr>
          <w:rFonts w:ascii="Century Schoolbook" w:hAnsi="Century Schoolbook"/>
          <w:b/>
          <w:bCs/>
          <w:sz w:val="22"/>
          <w:szCs w:val="22"/>
        </w:rPr>
        <w:tab/>
      </w:r>
    </w:p>
    <w:p w14:paraId="69E59570">
      <w:pPr>
        <w:pStyle w:val="50"/>
        <w:shd w:val="clear" w:color="auto" w:fill="FFFFFF" w:themeFill="background1"/>
        <w:ind w:left="-360" w:hanging="360"/>
        <w:rPr>
          <w:rFonts w:ascii="Century Schoolbook" w:hAnsi="Century Schoolbook" w:eastAsiaTheme="minorEastAsia"/>
          <w:sz w:val="22"/>
          <w:szCs w:val="22"/>
        </w:rPr>
      </w:pPr>
      <w:r>
        <w:rPr>
          <w:rFonts w:ascii="Century Schoolbook" w:hAnsi="Century Schoolbook"/>
          <w:sz w:val="22"/>
          <w:szCs w:val="22"/>
        </w:rPr>
        <w:tab/>
      </w:r>
      <w:r>
        <w:rPr>
          <w:rFonts w:ascii="Century Schoolbook" w:hAnsi="Century Schoolbook"/>
          <w:sz w:val="22"/>
          <w:szCs w:val="22"/>
        </w:rPr>
        <w:tab/>
      </w:r>
      <w:r>
        <w:rPr>
          <w:rFonts w:ascii="Century Schoolbook" w:hAnsi="Century Schoolbook"/>
          <w:sz w:val="22"/>
          <w:szCs w:val="22"/>
        </w:rPr>
        <w:t xml:space="preserve">The revised model above controls for the school’s poverty concentration. In the model, the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oMath>
      <w:r>
        <w:rPr>
          <w:rFonts w:ascii="Century Schoolbook" w:hAnsi="Century Schoolbook" w:eastAsiaTheme="minorEastAsia"/>
          <w:sz w:val="22"/>
          <w:szCs w:val="22"/>
        </w:rPr>
        <w:t xml:space="preserve"> estimate is -0.001640. This estimate means that each one-unit increase in LOWINC is associated with a 0.001640 point decrease in the expected linear growth rate in math achievement</w:t>
      </w:r>
      <w:r>
        <w:rPr>
          <w:rFonts w:ascii="Century Schoolbook" w:hAnsi="Century Schoolbook"/>
          <w:sz w:val="22"/>
          <w:szCs w:val="22"/>
        </w:rPr>
        <w:t xml:space="preserve">, on average, holding all else constant. In plain language, this estimate shows that school poverty concentration predicts children’s linear math achievement growth. In even </w:t>
      </w:r>
      <w:r>
        <w:rPr>
          <w:rFonts w:ascii="Century Schoolbook" w:hAnsi="Century Schoolbook"/>
          <w:i/>
          <w:iCs/>
          <w:sz w:val="22"/>
          <w:szCs w:val="22"/>
        </w:rPr>
        <w:t xml:space="preserve">plainer </w:t>
      </w:r>
      <w:r>
        <w:rPr>
          <w:rFonts w:ascii="Century Schoolbook" w:hAnsi="Century Schoolbook"/>
          <w:sz w:val="22"/>
          <w:szCs w:val="22"/>
        </w:rPr>
        <w:t xml:space="preserve">language, the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oMath>
      <w:r>
        <w:rPr>
          <w:rFonts w:ascii="Century Schoolbook" w:hAnsi="Century Schoolbook" w:eastAsiaTheme="minorEastAsia"/>
          <w:sz w:val="22"/>
          <w:szCs w:val="22"/>
        </w:rPr>
        <w:t xml:space="preserve"> estimate predicts that schools with low-income students concentration are expected to have lower growth rates</w:t>
      </w:r>
      <w:r>
        <w:rPr>
          <w:rFonts w:ascii="Century Schoolbook" w:hAnsi="Century Schoolbook"/>
          <w:sz w:val="22"/>
          <w:szCs w:val="22"/>
        </w:rPr>
        <w:t xml:space="preserve"> (relative to students in schools with lower percentages of low-income students).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0.004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100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w:t>
      </w:r>
    </w:p>
    <w:p w14:paraId="366B0AE6">
      <w:pPr>
        <w:pStyle w:val="50"/>
        <w:shd w:val="clear" w:color="auto" w:fill="FFFFFF" w:themeFill="background1"/>
        <w:ind w:left="-360" w:hanging="360"/>
        <w:rPr>
          <w:rFonts w:ascii="Century Schoolbook" w:hAnsi="Century Schoolbook"/>
          <w:sz w:val="22"/>
          <w:szCs w:val="22"/>
        </w:rPr>
      </w:pPr>
      <w:r>
        <w:rPr>
          <w:rFonts w:ascii="Century Schoolbook" w:hAnsi="Century Schoolbook" w:eastAsiaTheme="minorEastAsia"/>
          <w:sz w:val="22"/>
          <w:szCs w:val="22"/>
        </w:rPr>
        <w:tab/>
      </w:r>
      <w:r>
        <w:rPr>
          <w:rFonts w:ascii="Century Schoolbook" w:hAnsi="Century Schoolbook" w:eastAsiaTheme="minorEastAsia"/>
          <w:sz w:val="22"/>
          <w:szCs w:val="22"/>
        </w:rPr>
        <w:tab/>
      </w:r>
      <w:r>
        <w:rPr>
          <w:rFonts w:ascii="Century Schoolbook" w:hAnsi="Century Schoolbook" w:eastAsiaTheme="minorEastAsia"/>
          <w:sz w:val="22"/>
          <w:szCs w:val="22"/>
          <w:highlight w:val="yellow"/>
        </w:rPr>
        <w:t xml:space="preserve">Moreover, the curvature term estimate, </w:t>
      </w:r>
      <m:oMath>
        <m:sSub>
          <m:sSubPr>
            <m:ctrlPr>
              <w:rPr>
                <w:rFonts w:ascii="Cambria Math" w:hAnsi="Cambria Math"/>
                <w:sz w:val="22"/>
                <w:szCs w:val="22"/>
                <w:highlight w:val="yellow"/>
              </w:rPr>
            </m:ctrlPr>
          </m:sSubPr>
          <m:e>
            <m:r>
              <m:rPr/>
              <w:rPr>
                <w:rFonts w:ascii="Cambria Math" w:hAnsi="Cambria Math"/>
                <w:sz w:val="22"/>
                <w:szCs w:val="22"/>
                <w:highlight w:val="yellow"/>
              </w:rPr>
              <m:t>γ</m:t>
            </m:r>
            <m:ctrlPr>
              <w:rPr>
                <w:rFonts w:ascii="Cambria Math" w:hAnsi="Cambria Math"/>
                <w:sz w:val="22"/>
                <w:szCs w:val="22"/>
                <w:highlight w:val="yellow"/>
              </w:rPr>
            </m:ctrlPr>
          </m:e>
          <m:sub>
            <m:r>
              <m:rPr/>
              <w:rPr>
                <w:rFonts w:ascii="Cambria Math" w:hAnsi="Cambria Math"/>
                <w:sz w:val="22"/>
                <w:szCs w:val="22"/>
                <w:highlight w:val="yellow"/>
              </w:rPr>
              <m:t>100</m:t>
            </m:r>
            <m:ctrlPr>
              <w:rPr>
                <w:rFonts w:ascii="Cambria Math" w:hAnsi="Cambria Math"/>
                <w:sz w:val="22"/>
                <w:szCs w:val="22"/>
                <w:highlight w:val="yellow"/>
              </w:rPr>
            </m:ctrlPr>
          </m:sub>
        </m:sSub>
      </m:oMath>
      <w:r>
        <w:rPr>
          <w:rFonts w:ascii="Century Schoolbook" w:hAnsi="Century Schoolbook" w:eastAsiaTheme="minorEastAsia"/>
          <w:sz w:val="22"/>
          <w:szCs w:val="22"/>
          <w:highlight w:val="yellow"/>
        </w:rPr>
        <w:t>, is 0.000177. This estimate shows that students with low income are exhibiting a decreasing growth rate over time. However, the p-value for the curvature term of the growth rates for the low-income students is not significant, thus we have not enough evidence to back such claim for the rate of change.</w:t>
      </w:r>
    </w:p>
    <w:p w14:paraId="264E5415">
      <w:pPr>
        <w:pStyle w:val="50"/>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7.   Compare these results to those in question 2 above. Comment briefly: have the results changed? If so, how?</w:t>
      </w:r>
    </w:p>
    <w:p w14:paraId="5F633287">
      <w:pPr>
        <w:pStyle w:val="50"/>
        <w:shd w:val="clear" w:color="auto" w:fill="FFFFFF" w:themeFill="background1"/>
        <w:ind w:left="-360" w:hanging="360"/>
        <w:rPr>
          <w:rFonts w:ascii="Century Schoolbook" w:hAnsi="Century Schoolbook"/>
          <w:sz w:val="22"/>
          <w:szCs w:val="22"/>
        </w:rPr>
      </w:pPr>
      <w:r>
        <w:rPr>
          <w:rFonts w:ascii="Century Schoolbook" w:hAnsi="Century Schoolbook"/>
          <w:b/>
          <w:bCs/>
          <w:sz w:val="22"/>
          <w:szCs w:val="22"/>
        </w:rPr>
        <w:tab/>
      </w:r>
      <w:r>
        <w:rPr>
          <w:rFonts w:ascii="Century Schoolbook" w:hAnsi="Century Schoolbook"/>
          <w:b/>
          <w:bCs/>
          <w:sz w:val="22"/>
          <w:szCs w:val="22"/>
        </w:rPr>
        <w:tab/>
      </w:r>
      <w:r>
        <w:rPr>
          <w:rFonts w:ascii="Century Schoolbook" w:hAnsi="Century Schoolbook"/>
          <w:sz w:val="22"/>
          <w:szCs w:val="22"/>
        </w:rPr>
        <w:t xml:space="preserve">Yes, compared to the results we found in Question 2, the results changed. After adding school poverty concentration into the model, the expected growth rate for white students increased from 0.836232 to 0.943949. This increase suggests that </w:t>
      </w:r>
      <w:r>
        <w:rPr>
          <w:rFonts w:ascii="Century Schoolbook" w:hAnsi="Century Schoolbook"/>
          <w:i/>
          <w:iCs/>
          <w:sz w:val="22"/>
          <w:szCs w:val="22"/>
        </w:rPr>
        <w:t xml:space="preserve">at least </w:t>
      </w:r>
      <w:r>
        <w:rPr>
          <w:rFonts w:ascii="Century Schoolbook" w:hAnsi="Century Schoolbook"/>
          <w:sz w:val="22"/>
          <w:szCs w:val="22"/>
        </w:rPr>
        <w:t xml:space="preserve">part of the original estimated growth trajectory was being influenced by differences in school poverty concentration. </w:t>
      </w:r>
    </w:p>
    <w:p w14:paraId="59D4FB05">
      <w:pPr>
        <w:pStyle w:val="50"/>
        <w:shd w:val="clear" w:color="auto" w:fill="FFFFFF" w:themeFill="background1"/>
        <w:ind w:left="-360" w:hanging="360"/>
        <w:rPr>
          <w:rFonts w:ascii="Century Schoolbook" w:hAnsi="Century Schoolbook"/>
          <w:sz w:val="22"/>
          <w:szCs w:val="22"/>
        </w:rPr>
      </w:pPr>
      <w:r>
        <w:rPr>
          <w:rFonts w:ascii="Century Schoolbook" w:hAnsi="Century Schoolbook"/>
          <w:sz w:val="22"/>
          <w:szCs w:val="22"/>
        </w:rPr>
        <w:tab/>
      </w:r>
      <w:r>
        <w:rPr>
          <w:rFonts w:ascii="Century Schoolbook" w:hAnsi="Century Schoolbook"/>
          <w:sz w:val="22"/>
          <w:szCs w:val="22"/>
        </w:rPr>
        <w:tab/>
      </w:r>
      <w:r>
        <w:rPr>
          <w:rFonts w:ascii="Century Schoolbook" w:hAnsi="Century Schoolbook"/>
          <w:sz w:val="22"/>
          <w:szCs w:val="22"/>
        </w:rPr>
        <w:t xml:space="preserve">This change in growth rate, however, was not unique among white students. In the Question 2 model,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 −0.066526</m:t>
        </m:r>
      </m:oMath>
      <w:r>
        <w:rPr>
          <w:rFonts w:ascii="Century Schoolbook" w:hAnsi="Century Schoolbook" w:eastAsiaTheme="minorEastAsia"/>
          <w:sz w:val="22"/>
          <w:szCs w:val="22"/>
        </w:rPr>
        <w:t xml:space="preserve">. Yet, after controlling for </w:t>
      </w:r>
      <w:r>
        <w:rPr>
          <w:rFonts w:ascii="Century Schoolbook" w:hAnsi="Century Schoolbook"/>
          <w:sz w:val="22"/>
          <w:szCs w:val="22"/>
        </w:rPr>
        <w:t xml:space="preserve">school poverty concentration, </w:t>
      </w:r>
      <m:oMath>
        <m:sSub>
          <m:sSubPr>
            <m:ctrlPr>
              <w:rPr>
                <w:rFonts w:ascii="Cambria Math" w:hAnsi="Cambria Math"/>
                <w:sz w:val="22"/>
                <w:szCs w:val="22"/>
              </w:rPr>
            </m:ctrlPr>
          </m:sSubPr>
          <m:e>
            <m:r>
              <m:rPr/>
              <w:rPr>
                <w:rFonts w:ascii="Cambria Math" w:hAnsi="Cambria Math"/>
                <w:sz w:val="22"/>
                <w:szCs w:val="22"/>
              </w:rPr>
              <m:t>γ</m:t>
            </m:r>
            <m:ctrlPr>
              <w:rPr>
                <w:rFonts w:ascii="Cambria Math" w:hAnsi="Cambria Math"/>
                <w:sz w:val="22"/>
                <w:szCs w:val="22"/>
              </w:rPr>
            </m:ctrlPr>
          </m:e>
          <m:sub>
            <m:r>
              <m:rPr/>
              <w:rPr>
                <w:rFonts w:ascii="Cambria Math" w:hAnsi="Cambria Math"/>
                <w:sz w:val="22"/>
                <w:szCs w:val="22"/>
              </w:rPr>
              <m:t>110</m:t>
            </m:r>
            <m:ctrlPr>
              <w:rPr>
                <w:rFonts w:ascii="Cambria Math" w:hAnsi="Cambria Math"/>
                <w:sz w:val="22"/>
                <w:szCs w:val="22"/>
              </w:rPr>
            </m:ctrlPr>
          </m:sub>
        </m:sSub>
        <m:r>
          <m:rPr/>
          <w:rPr>
            <w:rFonts w:ascii="Cambria Math" w:hAnsi="Cambria Math"/>
            <w:sz w:val="22"/>
            <w:szCs w:val="22"/>
          </w:rPr>
          <m:t>= −</m:t>
        </m:r>
        <m:r>
          <m:rPr>
            <m:sty m:val="p"/>
          </m:rPr>
          <w:rPr>
            <w:rFonts w:ascii="Cambria Math" w:hAnsi="Cambria Math"/>
            <w:sz w:val="22"/>
            <w:szCs w:val="22"/>
          </w:rPr>
          <m:t>0.047347</m:t>
        </m:r>
      </m:oMath>
      <w:r>
        <w:rPr>
          <w:rFonts w:ascii="Century Schoolbook" w:hAnsi="Century Schoolbook" w:eastAsiaTheme="minorEastAsia"/>
          <w:sz w:val="22"/>
          <w:szCs w:val="22"/>
        </w:rPr>
        <w:t xml:space="preserve"> (and, notably, had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0.075). Substantively, this change suggests that at least </w:t>
      </w:r>
      <w:r>
        <w:rPr>
          <w:rFonts w:ascii="Century Schoolbook" w:hAnsi="Century Schoolbook"/>
          <w:i/>
          <w:iCs/>
          <w:sz w:val="22"/>
          <w:szCs w:val="22"/>
        </w:rPr>
        <w:t>some</w:t>
      </w:r>
      <w:r>
        <w:rPr>
          <w:rFonts w:ascii="Century Schoolbook" w:hAnsi="Century Schoolbook"/>
          <w:sz w:val="22"/>
          <w:szCs w:val="22"/>
        </w:rPr>
        <w:t xml:space="preserve"> of the slower estimated growth for Black students in the original model may be explained by the fact that Black students are more likely to attend schools with higher poverty concentration. The quadratic terms also changed relative to the Question 2 model. For white students, the quadratic coefficient became more negative (from -0.059572 to -0.071479), which suggests that there is a quicker deceleration in predicted math achievement score growth after accounting for school poverty concentration. </w:t>
      </w:r>
      <w:r>
        <w:rPr>
          <w:rFonts w:ascii="Century Schoolbook" w:hAnsi="Century Schoolbook"/>
          <w:sz w:val="22"/>
          <w:szCs w:val="22"/>
          <w:highlight w:val="yellow"/>
        </w:rPr>
        <w:t>Overall, this indicates that poverty concentration variable is a significant omitted variable. We can note that after controlling this variable, the initial rate of change is actually steeper than the original model suggested. As for the more negative acceleration, this means that the trajectory is decelerating quicker over time.</w:t>
      </w:r>
      <w:r>
        <w:rPr>
          <w:rFonts w:ascii="Century Schoolbook" w:hAnsi="Century Schoolbook"/>
          <w:sz w:val="22"/>
          <w:szCs w:val="22"/>
        </w:rPr>
        <w:t xml:space="preserve">  </w:t>
      </w:r>
    </w:p>
    <w:p w14:paraId="018AC1B8">
      <w:pPr>
        <w:pStyle w:val="50"/>
        <w:shd w:val="clear" w:color="auto" w:fill="FFFFFF" w:themeFill="background1"/>
        <w:rPr>
          <w:rFonts w:ascii="Century Schoolbook" w:hAnsi="Century Schoolbook"/>
          <w:sz w:val="22"/>
          <w:szCs w:val="22"/>
        </w:rPr>
      </w:pPr>
    </w:p>
    <w:p w14:paraId="022841B2">
      <w:pPr>
        <w:pStyle w:val="50"/>
        <w:shd w:val="clear" w:color="auto" w:fill="FFFFFF" w:themeFill="background1"/>
        <w:ind w:left="-720"/>
        <w:rPr>
          <w:rFonts w:ascii="Century Schoolbook" w:hAnsi="Century Schoolbook"/>
          <w:b/>
          <w:bCs/>
          <w:sz w:val="22"/>
          <w:szCs w:val="22"/>
        </w:rPr>
      </w:pPr>
      <w:r>
        <w:rPr>
          <w:rFonts w:ascii="Century Schoolbook" w:hAnsi="Century Schoolbook"/>
          <w:b/>
          <w:bCs/>
          <w:sz w:val="22"/>
          <w:szCs w:val="22"/>
        </w:rPr>
        <w:t>Part B. Revising sector effects</w:t>
      </w:r>
    </w:p>
    <w:p w14:paraId="395D7D11">
      <w:pPr>
        <w:pStyle w:val="3"/>
        <w:numPr>
          <w:ilvl w:val="0"/>
          <w:numId w:val="1"/>
        </w:numPr>
        <w:rPr>
          <w:rFonts w:ascii="Century Schoolbook" w:hAnsi="Century Schoolbook"/>
          <w:b/>
          <w:bCs/>
          <w:sz w:val="22"/>
          <w:szCs w:val="22"/>
        </w:rPr>
      </w:pPr>
      <w:r>
        <w:rPr>
          <w:rFonts w:ascii="Century Schoolbook" w:hAnsi="Century Schoolbook"/>
          <w:b/>
          <w:bCs/>
          <w:sz w:val="22"/>
          <w:szCs w:val="22"/>
        </w:rPr>
        <w:t xml:space="preserve">First, run a model predicting college graduation with gender, race (note there are four three non-white racial categories), and base year SES (BYSES). Enter all covariates uncentered, and only allow the intercept to vary. Remember to use EM LaPlace estimation when running logistic regression models in HLM (1000 max iterations). Explain the sampling model and link function. Interpret the reported unit-specific estimates for the intercept and coefficients for FEMALE, BLACK, HISPANIC, ASIAN, and BYSES. </w:t>
      </w:r>
    </w:p>
    <w:p w14:paraId="378E3763">
      <w:pPr>
        <w:pStyle w:val="3"/>
        <w:ind w:left="-360" w:firstLine="360"/>
        <w:rPr>
          <w:rFonts w:ascii="Century Schoolbook" w:hAnsi="Century Schoolbook"/>
          <w:sz w:val="22"/>
          <w:szCs w:val="22"/>
        </w:rPr>
      </w:pPr>
      <w:r>
        <w:rPr>
          <w:rFonts w:ascii="Century Schoolbook" w:hAnsi="Century Schoolbook"/>
          <w:sz w:val="22"/>
          <w:szCs w:val="22"/>
        </w:rPr>
        <w:t xml:space="preserve">The outcome variable (BAGRAD) is dichotomous; this means that the sampling model assumes that the outcome must follow a Bernoulli distribution. In other words, each student either obtained a BA (1), or did not obtain a BA (0). </w:t>
      </w:r>
      <w:r>
        <w:rPr>
          <w:rFonts w:ascii="Century Schoolbook" w:hAnsi="Century Schoolbook"/>
          <w:sz w:val="22"/>
          <w:szCs w:val="22"/>
          <w:highlight w:val="yellow"/>
        </w:rPr>
        <w:t xml:space="preserve">The </w:t>
      </w:r>
      <m:oMath>
        <m:sSub>
          <m:sSubPr>
            <m:ctrlPr>
              <w:rPr>
                <w:rFonts w:ascii="Cambria Math" w:hAnsi="Cambria Math"/>
                <w:sz w:val="22"/>
                <w:szCs w:val="22"/>
                <w:highlight w:val="yellow"/>
              </w:rPr>
            </m:ctrlPr>
          </m:sSubPr>
          <m:e>
            <m:r>
              <m:rPr/>
              <w:rPr>
                <w:rFonts w:ascii="Cambria Math" w:hAnsi="Cambria Math"/>
                <w:sz w:val="22"/>
                <w:szCs w:val="22"/>
                <w:highlight w:val="yellow"/>
              </w:rPr>
              <m:t>Y</m:t>
            </m:r>
            <m:ctrlPr>
              <w:rPr>
                <w:rFonts w:ascii="Cambria Math" w:hAnsi="Cambria Math"/>
                <w:sz w:val="22"/>
                <w:szCs w:val="22"/>
                <w:highlight w:val="yellow"/>
              </w:rPr>
            </m:ctrlPr>
          </m:e>
          <m:sub>
            <m:r>
              <m:rPr/>
              <w:rPr>
                <w:rFonts w:ascii="Cambria Math" w:hAnsi="Cambria Math"/>
                <w:sz w:val="22"/>
                <w:szCs w:val="22"/>
                <w:highlight w:val="yellow"/>
              </w:rPr>
              <m:t>ij</m:t>
            </m:r>
            <m:ctrlPr>
              <w:rPr>
                <w:rFonts w:ascii="Cambria Math" w:hAnsi="Cambria Math"/>
                <w:sz w:val="22"/>
                <w:szCs w:val="22"/>
                <w:highlight w:val="yellow"/>
              </w:rPr>
            </m:ctrlPr>
          </m:sub>
        </m:sSub>
        <m:r>
          <m:rPr/>
          <w:rPr>
            <w:rFonts w:ascii="Cambria Math" w:hAnsi="Cambria Math"/>
            <w:sz w:val="22"/>
            <w:szCs w:val="22"/>
            <w:highlight w:val="yellow"/>
          </w:rPr>
          <m:t xml:space="preserve"> </m:t>
        </m:r>
      </m:oMath>
      <w:r>
        <w:rPr>
          <w:rFonts w:ascii="Century Schoolbook" w:hAnsi="Century Schoolbook"/>
          <w:sz w:val="22"/>
          <w:szCs w:val="22"/>
          <w:highlight w:val="yellow"/>
        </w:rPr>
        <w:t xml:space="preserve">is also the number of successes in </w:t>
      </w:r>
      <m:oMath>
        <m:sSub>
          <m:sSubPr>
            <m:ctrlPr>
              <w:rPr>
                <w:rFonts w:ascii="Cambria Math" w:hAnsi="Cambria Math"/>
                <w:sz w:val="22"/>
                <w:szCs w:val="22"/>
                <w:highlight w:val="yellow"/>
              </w:rPr>
            </m:ctrlPr>
          </m:sSubPr>
          <m:e>
            <m:r>
              <m:rPr/>
              <w:rPr>
                <w:rFonts w:ascii="Cambria Math" w:hAnsi="Cambria Math"/>
                <w:sz w:val="22"/>
                <w:szCs w:val="22"/>
                <w:highlight w:val="yellow"/>
              </w:rPr>
              <m:t>m</m:t>
            </m:r>
            <m:ctrlPr>
              <w:rPr>
                <w:rFonts w:ascii="Cambria Math" w:hAnsi="Cambria Math"/>
                <w:sz w:val="22"/>
                <w:szCs w:val="22"/>
                <w:highlight w:val="yellow"/>
              </w:rPr>
            </m:ctrlPr>
          </m:e>
          <m:sub>
            <m:r>
              <m:rPr/>
              <w:rPr>
                <w:rFonts w:ascii="Cambria Math" w:hAnsi="Cambria Math"/>
                <w:sz w:val="22"/>
                <w:szCs w:val="22"/>
                <w:highlight w:val="yellow"/>
              </w:rPr>
              <m:t>ij</m:t>
            </m:r>
            <m:ctrlPr>
              <w:rPr>
                <w:rFonts w:ascii="Cambria Math" w:hAnsi="Cambria Math"/>
                <w:sz w:val="22"/>
                <w:szCs w:val="22"/>
                <w:highlight w:val="yellow"/>
              </w:rPr>
            </m:ctrlPr>
          </m:sub>
        </m:sSub>
      </m:oMath>
      <w:r>
        <w:rPr>
          <w:rFonts w:ascii="Century Schoolbook" w:hAnsi="Century Schoolbook"/>
          <w:sz w:val="22"/>
          <w:szCs w:val="22"/>
          <w:highlight w:val="yellow"/>
        </w:rPr>
        <w:t xml:space="preserve"> trials and </w:t>
      </w:r>
      <m:oMath>
        <m:r>
          <m:rPr/>
          <w:rPr>
            <w:rFonts w:ascii="Cambria Math" w:hAnsi="Cambria Math"/>
            <w:sz w:val="22"/>
            <w:szCs w:val="22"/>
            <w:highlight w:val="yellow"/>
          </w:rPr>
          <m:t>Φ</m:t>
        </m:r>
      </m:oMath>
      <w:r>
        <w:rPr>
          <w:rFonts w:ascii="Century Schoolbook" w:hAnsi="Century Schoolbook"/>
          <w:sz w:val="22"/>
          <w:szCs w:val="22"/>
          <w:highlight w:val="yellow"/>
        </w:rPr>
        <w:t xml:space="preserve"> here represents the probability of success on each trial of our test.</w:t>
      </w:r>
      <w:r>
        <w:rPr>
          <w:rFonts w:ascii="Century Schoolbook" w:hAnsi="Century Schoolbook"/>
          <w:sz w:val="22"/>
          <w:szCs w:val="22"/>
        </w:rPr>
        <w:t xml:space="preserve"> Such a dichotomy implies: </w:t>
      </w:r>
    </w:p>
    <w:p w14:paraId="7ACCC26A">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BAGRAD</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 Bernoulli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oMath>
      </m:oMathPara>
    </w:p>
    <w:p w14:paraId="3D8B5ACE">
      <w:pPr>
        <w:pStyle w:val="50"/>
        <w:shd w:val="clear" w:color="auto" w:fill="FFFFFF" w:themeFill="background1"/>
        <w:rPr>
          <w:rFonts w:ascii="Century Schoolbook" w:hAnsi="Century Schoolbook"/>
          <w:sz w:val="22"/>
          <w:szCs w:val="22"/>
        </w:rPr>
      </w:pPr>
      <w:r>
        <w:rPr>
          <w:rFonts w:ascii="Century Schoolbook" w:hAnsi="Century Schoolbook" w:eastAsiaTheme="minorEastAsia"/>
          <w:sz w:val="22"/>
          <w:szCs w:val="22"/>
        </w:rPr>
        <w:t xml:space="preserve">Here, </w:t>
      </w:r>
      <m:oMath>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r>
        <w:rPr>
          <w:rFonts w:ascii="Century Schoolbook" w:hAnsi="Century Schoolbook" w:eastAsiaTheme="minorEastAsia"/>
          <w:sz w:val="22"/>
          <w:szCs w:val="22"/>
        </w:rPr>
        <w:t xml:space="preserve"> represents the probability that student </w:t>
      </w:r>
      <w:r>
        <w:rPr>
          <w:rFonts w:ascii="Century Schoolbook" w:hAnsi="Century Schoolbook" w:eastAsiaTheme="minorEastAsia"/>
          <w:sz w:val="22"/>
          <w:szCs w:val="22"/>
          <w:vertAlign w:val="subscript"/>
        </w:rPr>
        <w:t xml:space="preserve">i </w:t>
      </w:r>
      <w:r>
        <w:rPr>
          <w:rFonts w:ascii="Century Schoolbook" w:hAnsi="Century Schoolbook" w:eastAsiaTheme="minorEastAsia"/>
          <w:sz w:val="22"/>
          <w:szCs w:val="22"/>
        </w:rPr>
        <w:t xml:space="preserve">in school </w:t>
      </w:r>
      <w:r>
        <w:rPr>
          <w:rFonts w:ascii="Century Schoolbook" w:hAnsi="Century Schoolbook" w:eastAsiaTheme="minorEastAsia"/>
          <w:sz w:val="22"/>
          <w:szCs w:val="22"/>
          <w:vertAlign w:val="subscript"/>
        </w:rPr>
        <w:t>j</w:t>
      </w:r>
      <w:r>
        <w:rPr>
          <w:rFonts w:ascii="Century Schoolbook" w:hAnsi="Century Schoolbook"/>
          <w:sz w:val="22"/>
          <w:szCs w:val="22"/>
        </w:rPr>
        <w:t xml:space="preserve"> received a BA. </w:t>
      </w:r>
    </w:p>
    <w:p w14:paraId="0795A078">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The model uses a logit link function:</w:t>
      </w:r>
    </w:p>
    <w:p w14:paraId="0714701C">
      <w:pPr>
        <w:pStyle w:val="50"/>
        <w:shd w:val="clear" w:color="auto" w:fill="FFFFFF" w:themeFill="background1"/>
        <w:jc w:val="center"/>
        <w:rPr>
          <w:rFonts w:ascii="Century Schoolbook" w:hAnsi="Century Schoolbook" w:eastAsiaTheme="minorEastAsia"/>
          <w:sz w:val="22"/>
          <w:szCs w:val="22"/>
        </w:rPr>
      </w:pPr>
      <m:oMathPara>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r>
            <m:rPr>
              <m:sty m:val="p"/>
            </m:rPr>
            <w:rPr>
              <w:rFonts w:ascii="Cambria Math" w:hAnsi="Cambria Math"/>
              <w:sz w:val="22"/>
              <w:szCs w:val="22"/>
            </w:rPr>
            <m:t>log⁡</m:t>
          </m:r>
          <m:r>
            <m:rP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rPr>
            <m:t>)</m:t>
          </m:r>
        </m:oMath>
      </m:oMathPara>
    </w:p>
    <w:p w14:paraId="19CB0C7D">
      <w:pPr>
        <w:pStyle w:val="50"/>
        <w:shd w:val="clear" w:color="auto" w:fill="FFFFFF" w:themeFill="background1"/>
        <w:rPr>
          <w:rFonts w:ascii="Century Schoolbook" w:hAnsi="Century Schoolbook" w:eastAsiaTheme="minorEastAsia"/>
          <w:sz w:val="22"/>
          <w:szCs w:val="22"/>
        </w:rPr>
      </w:pPr>
      <w:r>
        <w:rPr>
          <w:rFonts w:ascii="Century Schoolbook" w:hAnsi="Century Schoolbook" w:eastAsiaTheme="minorEastAsia"/>
          <w:sz w:val="22"/>
          <w:szCs w:val="22"/>
        </w:rPr>
        <w:t xml:space="preserve">The logit link function means that the coefficients in this model are interpreted in terms of log-odds of graduating from college (as opposed to direct changes in probability). The </w:t>
      </w: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r>
        <w:rPr>
          <w:rFonts w:ascii="Century Schoolbook" w:hAnsi="Century Schoolbook" w:eastAsiaTheme="minorEastAsia"/>
          <w:sz w:val="22"/>
          <w:szCs w:val="22"/>
        </w:rPr>
        <w:t xml:space="preserve"> function is the log of the odds of success.</w:t>
      </w:r>
    </w:p>
    <w:p w14:paraId="51DC7194">
      <w:pPr>
        <w:pStyle w:val="3"/>
        <w:jc w:val="center"/>
        <w:rPr>
          <w:rFonts w:ascii="Century Schoolbook" w:hAnsi="Century Schoolbook"/>
          <w:b/>
          <w:bCs/>
          <w:sz w:val="22"/>
          <w:szCs w:val="22"/>
        </w:rPr>
      </w:pPr>
      <w:r>
        <w:rPr>
          <w:rFonts w:ascii="Century Schoolbook" w:hAnsi="Century Schoolbook"/>
          <w:b/>
          <w:bCs/>
          <w:sz w:val="22"/>
          <w:szCs w:val="22"/>
        </w:rPr>
        <w:drawing>
          <wp:inline distT="0" distB="0" distL="0" distR="0">
            <wp:extent cx="4547870" cy="6061710"/>
            <wp:effectExtent l="0" t="0" r="0" b="0"/>
            <wp:docPr id="1486258594" name="Picture 1" descr="The image displays a table with coefficients, standard errors, t-ratios, degrees of freedom, and p-values, likely from a statistical model output, showing the effects of various factors on a response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8594" name="Picture 1" descr="The image displays a table with coefficients, standard errors, t-ratios, degrees of freedom, and p-values, likely from a statistical model output, showing the effects of various factors on a response variable.&#10;&#10;AI-generated content may be incorrect."/>
                    <pic:cNvPicPr>
                      <a:picLocks noChangeAspect="1"/>
                    </pic:cNvPicPr>
                  </pic:nvPicPr>
                  <pic:blipFill>
                    <a:blip r:embed="rId10"/>
                    <a:stretch>
                      <a:fillRect/>
                    </a:stretch>
                  </pic:blipFill>
                  <pic:spPr>
                    <a:xfrm>
                      <a:off x="0" y="0"/>
                      <a:ext cx="4571147" cy="6092421"/>
                    </a:xfrm>
                    <a:prstGeom prst="rect">
                      <a:avLst/>
                    </a:prstGeom>
                  </pic:spPr>
                </pic:pic>
              </a:graphicData>
            </a:graphic>
          </wp:inline>
        </w:drawing>
      </w:r>
    </w:p>
    <w:p w14:paraId="5E3A5595">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m:t>
            </m:r>
            <m:ctrlPr>
              <w:rPr>
                <w:rFonts w:ascii="Cambria Math" w:hAnsi="Cambria Math"/>
                <w:sz w:val="22"/>
                <w:szCs w:val="22"/>
              </w:rPr>
            </m:ctrlPr>
          </m:sub>
        </m:sSub>
      </m:oMath>
      <w:r>
        <w:rPr>
          <w:rFonts w:ascii="Century Schoolbook" w:hAnsi="Century Schoolbook"/>
          <w:sz w:val="22"/>
          <w:szCs w:val="22"/>
        </w:rPr>
        <w:t xml:space="preserve"> estimate is -0.631210. This estimate shows the expected log-odds of college graduation for a white male student with </w:t>
      </w:r>
      <w:r>
        <w:rPr>
          <w:rFonts w:ascii="Century Schoolbook" w:hAnsi="Century Schoolbook"/>
          <w:sz w:val="22"/>
          <w:szCs w:val="22"/>
          <w:highlight w:val="yellow"/>
        </w:rPr>
        <w:t>a zero base year SES.</w:t>
      </w:r>
      <w:r>
        <w:rPr>
          <w:rFonts w:ascii="Century Schoolbook" w:hAnsi="Century Schoolbook"/>
          <w:sz w:val="22"/>
          <w:szCs w:val="22"/>
        </w:rPr>
        <w:t xml:space="preserve"> The odds ratio for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m:t>
            </m:r>
            <m:ctrlPr>
              <w:rPr>
                <w:rFonts w:ascii="Cambria Math" w:hAnsi="Cambria Math"/>
                <w:sz w:val="22"/>
                <w:szCs w:val="22"/>
              </w:rPr>
            </m:ctrlPr>
          </m:sub>
        </m:sSub>
      </m:oMath>
      <w:r>
        <w:rPr>
          <w:rFonts w:ascii="Century Schoolbook" w:hAnsi="Century Schoolbook" w:eastAsiaTheme="minorEastAsia"/>
          <w:sz w:val="22"/>
          <w:szCs w:val="22"/>
        </w:rPr>
        <w:t xml:space="preserve"> is </w:t>
      </w:r>
      <m:oMath>
        <m:r>
          <m:rPr/>
          <w:rPr>
            <w:rFonts w:ascii="Cambria Math" w:hAnsi="Cambria Math" w:eastAsiaTheme="minorEastAsia"/>
            <w:sz w:val="22"/>
            <w:szCs w:val="22"/>
          </w:rPr>
          <m:t>0.531948</m:t>
        </m:r>
      </m:oMath>
      <w:r>
        <w:rPr>
          <w:rFonts w:ascii="Century Schoolbook" w:hAnsi="Century Schoolbook" w:eastAsiaTheme="minorEastAsia"/>
          <w:sz w:val="22"/>
          <w:szCs w:val="22"/>
        </w:rPr>
        <w:t>, meaning the odds of graduation for this reference student are about 0.532.</w:t>
      </w:r>
      <w:r>
        <w:rPr>
          <w:rFonts w:ascii="Century Schoolbook" w:hAnsi="Century Schoolbook"/>
          <w:sz w:val="22"/>
          <w:szCs w:val="22"/>
        </w:rPr>
        <w:t xml:space="preserve">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0046E789">
      <w:pPr>
        <w:pStyle w:val="50"/>
        <w:shd w:val="clear" w:color="auto" w:fill="FFFFFF" w:themeFill="background1"/>
        <w:ind w:firstLine="720"/>
        <w:rPr>
          <w:rFonts w:ascii="Century Schoolbook" w:hAnsi="Century Schoolbook"/>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m:t>
            </m:r>
            <m:ctrlPr>
              <w:rPr>
                <w:rFonts w:ascii="Cambria Math" w:hAnsi="Cambria Math"/>
                <w:sz w:val="22"/>
                <w:szCs w:val="22"/>
              </w:rPr>
            </m:ctrlPr>
          </m:sub>
        </m:sSub>
      </m:oMath>
      <w:r>
        <w:rPr>
          <w:rFonts w:ascii="Century Schoolbook" w:hAnsi="Century Schoolbook"/>
          <w:sz w:val="22"/>
          <w:szCs w:val="22"/>
        </w:rPr>
        <w:t xml:space="preserve"> estimate is 0.382654. </w:t>
      </w:r>
      <w:r>
        <w:rPr>
          <w:rFonts w:ascii="Century Schoolbook" w:hAnsi="Century Schoolbook"/>
          <w:sz w:val="22"/>
          <w:szCs w:val="22"/>
          <w:highlight w:val="yellow"/>
        </w:rPr>
        <w:t>This is the Female variable predictor; it represents the expected difference in the log-odds of college graduation associated with the person being female rather than male, while holding all predictors and the random effect constant.</w:t>
      </w:r>
      <w:r>
        <w:rPr>
          <w:rFonts w:ascii="Century Schoolbook" w:hAnsi="Century Schoolbook"/>
          <w:sz w:val="22"/>
          <w:szCs w:val="22"/>
        </w:rPr>
        <w:t xml:space="preserve"> This estimate shows that, holding race and SES constant, female students have higher expected log-odds of college graduation than male students. The odds ratio is </w:t>
      </w:r>
      <m:oMath>
        <m:r>
          <m:rPr/>
          <w:rPr>
            <w:rFonts w:ascii="Cambria Math" w:hAnsi="Cambria Math"/>
            <w:sz w:val="22"/>
            <w:szCs w:val="22"/>
          </w:rPr>
          <m:t>1.466170</m:t>
        </m:r>
      </m:oMath>
      <w:r>
        <w:rPr>
          <w:rFonts w:ascii="Century Schoolbook" w:hAnsi="Century Schoolbook"/>
          <w:sz w:val="22"/>
          <w:szCs w:val="22"/>
        </w:rPr>
        <w:t xml:space="preserve">, meaning that female students have about 1.47 times the odds of college graduation compared to male students, holding the other variables constant.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0.012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10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23DA635C">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m:t>
            </m:r>
            <m:ctrlPr>
              <w:rPr>
                <w:rFonts w:ascii="Cambria Math" w:hAnsi="Cambria Math"/>
                <w:sz w:val="22"/>
                <w:szCs w:val="22"/>
              </w:rPr>
            </m:ctrlPr>
          </m:sub>
        </m:sSub>
      </m:oMath>
      <w:r>
        <w:rPr>
          <w:rFonts w:ascii="Century Schoolbook" w:hAnsi="Century Schoolbook"/>
          <w:sz w:val="22"/>
          <w:szCs w:val="22"/>
        </w:rPr>
        <w:t xml:space="preserve"> estimate is - 0.445760. </w:t>
      </w:r>
      <w:r>
        <w:rPr>
          <w:rFonts w:ascii="Century Schoolbook" w:hAnsi="Century Schoolbook"/>
          <w:sz w:val="22"/>
          <w:szCs w:val="22"/>
          <w:highlight w:val="yellow"/>
        </w:rPr>
        <w:t>This is the Black variable predictor; it represents the expected difference in log-odds of repetition between Black students’ baseline and whites’ as a base line in association with the probability of graduating, holding other predictors and the random effect constant.</w:t>
      </w:r>
      <w:r>
        <w:rPr>
          <w:rFonts w:ascii="Century Schoolbook" w:hAnsi="Century Schoolbook"/>
          <w:sz w:val="22"/>
          <w:szCs w:val="22"/>
        </w:rPr>
        <w:t xml:space="preserve"> The estimate shows that, holding gender and SES constant, Black students have lower expected log-odds of college graduation than white students. The odds ratio is </w:t>
      </w:r>
      <m:oMath>
        <m:r>
          <m:rPr/>
          <w:rPr>
            <w:rFonts w:ascii="Cambria Math" w:hAnsi="Cambria Math"/>
            <w:sz w:val="22"/>
            <w:szCs w:val="22"/>
          </w:rPr>
          <m:t>0.640338</m:t>
        </m:r>
      </m:oMath>
      <w:r>
        <w:rPr>
          <w:rFonts w:ascii="Century Schoolbook" w:hAnsi="Century Schoolbook"/>
          <w:sz w:val="22"/>
          <w:szCs w:val="22"/>
        </w:rPr>
        <w:t xml:space="preserve">, meaning that Black students have about 0.64 times the odds of college graduation compared to white students, holding the other variables constant. Yet,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0.073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20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4BEE565E">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30</m:t>
            </m:r>
            <m:ctrlPr>
              <w:rPr>
                <w:rFonts w:ascii="Cambria Math" w:hAnsi="Cambria Math"/>
                <w:sz w:val="22"/>
                <w:szCs w:val="22"/>
              </w:rPr>
            </m:ctrlPr>
          </m:sub>
        </m:sSub>
      </m:oMath>
      <w:r>
        <w:rPr>
          <w:rFonts w:ascii="Century Schoolbook" w:hAnsi="Century Schoolbook"/>
          <w:sz w:val="22"/>
          <w:szCs w:val="22"/>
        </w:rPr>
        <w:t xml:space="preserve"> estimate is -0.084418. This estimate shows that, holding gender and SES constant, Hispanic students have slightly lower expected log-odds of college graduation than white students. The odds ratio is </w:t>
      </w:r>
      <m:oMath>
        <m:r>
          <m:rPr/>
          <w:rPr>
            <w:rFonts w:ascii="Cambria Math" w:hAnsi="Cambria Math"/>
            <w:sz w:val="22"/>
            <w:szCs w:val="22"/>
          </w:rPr>
          <m:t>0.919047</m:t>
        </m:r>
      </m:oMath>
      <w:r>
        <w:rPr>
          <w:rFonts w:ascii="Century Schoolbook" w:hAnsi="Century Schoolbook"/>
          <w:sz w:val="22"/>
          <w:szCs w:val="22"/>
        </w:rPr>
        <w:t xml:space="preserve">, meaning that Hispanic students have about 0.92 times the odds of college graduation compared to white students, holding the other variables constant. Yet,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0.723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30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344211DD">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40</m:t>
            </m:r>
            <m:ctrlPr>
              <w:rPr>
                <w:rFonts w:ascii="Cambria Math" w:hAnsi="Cambria Math"/>
                <w:sz w:val="22"/>
                <w:szCs w:val="22"/>
              </w:rPr>
            </m:ctrlPr>
          </m:sub>
        </m:sSub>
      </m:oMath>
      <w:r>
        <w:rPr>
          <w:rFonts w:ascii="Century Schoolbook" w:hAnsi="Century Schoolbook"/>
          <w:sz w:val="22"/>
          <w:szCs w:val="22"/>
        </w:rPr>
        <w:t xml:space="preserve"> estimate is </w:t>
      </w:r>
      <m:oMath>
        <m:r>
          <m:rPr/>
          <w:rPr>
            <w:rFonts w:ascii="Cambria Math" w:hAnsi="Cambria Math"/>
            <w:sz w:val="22"/>
            <w:szCs w:val="22"/>
          </w:rPr>
          <m:t>0.886842</m:t>
        </m:r>
      </m:oMath>
      <w:r>
        <w:rPr>
          <w:rFonts w:ascii="Century Schoolbook" w:hAnsi="Century Schoolbook"/>
          <w:sz w:val="22"/>
          <w:szCs w:val="22"/>
        </w:rPr>
        <w:t xml:space="preserve">. </w:t>
      </w:r>
      <w:r>
        <w:rPr>
          <w:rFonts w:ascii="Century Schoolbook" w:hAnsi="Century Schoolbook"/>
          <w:sz w:val="22"/>
          <w:szCs w:val="22"/>
          <w:highlight w:val="yellow"/>
        </w:rPr>
        <w:t>This is the Asian variable predictor; it represents the expected difference in log-odds between ASIAN students and white students, holding other predictors and the random effect constant.</w:t>
      </w:r>
      <w:r>
        <w:rPr>
          <w:rFonts w:ascii="Century Schoolbook" w:hAnsi="Century Schoolbook"/>
          <w:sz w:val="22"/>
          <w:szCs w:val="22"/>
        </w:rPr>
        <w:t xml:space="preserve"> This estimate shows that, holding gender and SES constant, Asian students have higher expected log-odds of college graduation than white students. The odds ratio is </w:t>
      </w:r>
      <m:oMath>
        <m:r>
          <m:rPr/>
          <w:rPr>
            <w:rFonts w:ascii="Cambria Math" w:hAnsi="Cambria Math"/>
            <w:sz w:val="22"/>
            <w:szCs w:val="22"/>
          </w:rPr>
          <m:t>2.427451</m:t>
        </m:r>
      </m:oMath>
      <w:r>
        <w:rPr>
          <w:rFonts w:ascii="Century Schoolbook" w:hAnsi="Century Schoolbook"/>
          <w:sz w:val="22"/>
          <w:szCs w:val="22"/>
        </w:rPr>
        <w:t xml:space="preserve">, meaning that Asian students have about 2.43 times the odds of college graduation compared to white students, holding the other variables constant.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40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4B0EBB0A">
      <w:pPr>
        <w:pStyle w:val="50"/>
        <w:shd w:val="clear" w:color="auto" w:fill="FFFFFF" w:themeFill="background1"/>
        <w:ind w:firstLine="720"/>
        <w:rPr>
          <w:rFonts w:ascii="Century Schoolbook" w:hAnsi="Century Schoolbook" w:eastAsiaTheme="minorEastAsia"/>
          <w:sz w:val="22"/>
          <w:szCs w:val="22"/>
        </w:rPr>
      </w:pP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50</m:t>
            </m:r>
            <m:ctrlPr>
              <w:rPr>
                <w:rFonts w:ascii="Cambria Math" w:hAnsi="Cambria Math"/>
                <w:sz w:val="22"/>
                <w:szCs w:val="22"/>
              </w:rPr>
            </m:ctrlPr>
          </m:sub>
        </m:sSub>
      </m:oMath>
      <w:r>
        <w:rPr>
          <w:rFonts w:ascii="Century Schoolbook" w:hAnsi="Century Schoolbook"/>
          <w:sz w:val="22"/>
          <w:szCs w:val="22"/>
        </w:rPr>
        <w:t xml:space="preserve"> estimate is </w:t>
      </w:r>
      <m:oMath>
        <m:r>
          <m:rPr/>
          <w:rPr>
            <w:rFonts w:ascii="Cambria Math" w:hAnsi="Cambria Math"/>
            <w:sz w:val="22"/>
            <w:szCs w:val="22"/>
          </w:rPr>
          <m:t>1.066521</m:t>
        </m:r>
      </m:oMath>
      <w:r>
        <w:rPr>
          <w:rFonts w:ascii="Century Schoolbook" w:hAnsi="Century Schoolbook"/>
          <w:sz w:val="22"/>
          <w:szCs w:val="22"/>
        </w:rPr>
        <w:t xml:space="preserve">. </w:t>
      </w:r>
      <w:r>
        <w:rPr>
          <w:rFonts w:ascii="Century Schoolbook" w:hAnsi="Century Schoolbook"/>
          <w:sz w:val="22"/>
          <w:szCs w:val="22"/>
          <w:highlight w:val="yellow"/>
        </w:rPr>
        <w:t>This is the BYSES variable predictor; it represents the expected difference in the log-odds of graduation associated with 1 unit increase in the socio-economic status level predictor, while holding constant the other predictors and the value of the random effect.</w:t>
      </w:r>
      <w:r>
        <w:rPr>
          <w:rFonts w:ascii="Century Schoolbook" w:hAnsi="Century Schoolbook"/>
          <w:sz w:val="22"/>
          <w:szCs w:val="22"/>
        </w:rPr>
        <w:t xml:space="preserve"> This estimate shows that, holding gender and race constant, each one-unit increase in base-year socioeconomic status is associated with a </w:t>
      </w:r>
      <m:oMath>
        <m:r>
          <m:rPr/>
          <w:rPr>
            <w:rFonts w:ascii="Cambria Math" w:hAnsi="Cambria Math"/>
            <w:sz w:val="22"/>
            <w:szCs w:val="22"/>
          </w:rPr>
          <m:t>1.066521</m:t>
        </m:r>
      </m:oMath>
      <w:r>
        <w:rPr>
          <w:rFonts w:ascii="Century Schoolbook" w:hAnsi="Century Schoolbook"/>
          <w:sz w:val="22"/>
          <w:szCs w:val="22"/>
        </w:rPr>
        <w:t xml:space="preserve"> unit increase in the expected log-odds of college graduation. The odds ratio is </w:t>
      </w:r>
      <m:oMath>
        <m:r>
          <m:rPr/>
          <w:rPr>
            <w:rFonts w:ascii="Cambria Math" w:hAnsi="Cambria Math"/>
            <w:sz w:val="22"/>
            <w:szCs w:val="22"/>
          </w:rPr>
          <m:t>2.905254</m:t>
        </m:r>
      </m:oMath>
      <w:r>
        <w:rPr>
          <w:rFonts w:ascii="Century Schoolbook" w:hAnsi="Century Schoolbook"/>
          <w:sz w:val="22"/>
          <w:szCs w:val="22"/>
        </w:rPr>
        <w:t xml:space="preserve">, meaning that each one-unit increase in SES is associated with about 2.91 times greater odds of college graduation.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&lt;0.001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50</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w:t>
      </w:r>
    </w:p>
    <w:p w14:paraId="6775F014">
      <w:pPr>
        <w:pStyle w:val="3"/>
        <w:rPr>
          <w:rFonts w:ascii="Century Schoolbook" w:hAnsi="Century Schoolbook"/>
          <w:sz w:val="22"/>
          <w:szCs w:val="22"/>
        </w:rPr>
      </w:pPr>
    </w:p>
    <w:p w14:paraId="793E8890">
      <w:pPr>
        <w:pStyle w:val="3"/>
        <w:numPr>
          <w:ilvl w:val="0"/>
          <w:numId w:val="1"/>
        </w:numPr>
        <w:rPr>
          <w:rFonts w:ascii="Century Schoolbook" w:hAnsi="Century Schoolbook"/>
          <w:b/>
          <w:bCs/>
          <w:sz w:val="22"/>
          <w:szCs w:val="22"/>
        </w:rPr>
      </w:pPr>
      <w:r>
        <w:rPr>
          <w:rFonts w:ascii="Century Schoolbook" w:hAnsi="Century Schoolbook"/>
          <w:b/>
          <w:bCs/>
          <w:sz w:val="22"/>
          <w:szCs w:val="22"/>
        </w:rPr>
        <w:t>Calculate the model-based predicted probability of college graduation for the following people. Assume that other variables all equal 0 and use the unit-specific estimates for your predictions. Show the basis for your calculations.</w:t>
      </w:r>
    </w:p>
    <w:p w14:paraId="1057ACA5">
      <w:pPr>
        <w:pStyle w:val="3"/>
        <w:numPr>
          <w:ilvl w:val="1"/>
          <w:numId w:val="1"/>
        </w:numPr>
        <w:rPr>
          <w:rFonts w:ascii="Century Schoolbook" w:hAnsi="Century Schoolbook"/>
          <w:b/>
          <w:bCs/>
          <w:sz w:val="22"/>
          <w:szCs w:val="22"/>
        </w:rPr>
      </w:pPr>
      <w:r>
        <w:rPr>
          <w:rFonts w:ascii="Century Schoolbook" w:hAnsi="Century Schoolbook"/>
          <w:b/>
          <w:bCs/>
          <w:sz w:val="22"/>
          <w:szCs w:val="22"/>
        </w:rPr>
        <w:t>a white male</w:t>
      </w:r>
    </w:p>
    <w:p w14:paraId="64AB25D9">
      <w:pPr>
        <w:pStyle w:val="3"/>
        <w:numPr>
          <w:ilvl w:val="2"/>
          <w:numId w:val="1"/>
        </w:numPr>
        <w:rPr>
          <w:rFonts w:ascii="Century Schoolbook" w:hAnsi="Century Schoolbook"/>
          <w:b/>
          <w:bCs/>
          <w:sz w:val="22"/>
          <w:szCs w:val="22"/>
        </w:rPr>
      </w:p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r>
          <m:rPr>
            <m:sty m:val="p"/>
          </m:rPr>
          <w:rPr>
            <w:rFonts w:ascii="Cambria Math" w:hAnsi="Cambria Math"/>
            <w:sz w:val="22"/>
            <w:szCs w:val="22"/>
          </w:rPr>
          <m:t>log⁡</m:t>
        </m:r>
        <m:r>
          <m:rP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rPr>
          <m:t>)</m:t>
        </m:r>
      </m:oMath>
    </w:p>
    <w:p w14:paraId="37F46CA2">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 xml:space="preserve">-0.631210 </w:t>
      </w:r>
      <m:oMath>
        <m:r>
          <m:rPr/>
          <w:rPr>
            <w:rFonts w:ascii="Cambria Math" w:hAnsi="Cambria Math"/>
            <w:sz w:val="22"/>
            <w:szCs w:val="22"/>
            <w:lang w:val="es-MX"/>
          </w:rPr>
          <m:t>=</m:t>
        </m:r>
        <m:r>
          <m:rPr>
            <m:sty m:val="p"/>
          </m:rPr>
          <w:rPr>
            <w:rFonts w:ascii="Cambria Math" w:hAnsi="Cambria Math"/>
            <w:sz w:val="22"/>
            <w:szCs w:val="22"/>
            <w:lang w:val="es-MX"/>
          </w:rPr>
          <m:t>log⁡</m:t>
        </m:r>
        <m:r>
          <m:rPr/>
          <w:rPr>
            <w:rFonts w:ascii="Cambria Math" w:hAnsi="Cambria Math"/>
            <w:sz w:val="22"/>
            <w:szCs w:val="22"/>
            <w:lang w:val="es-MX"/>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lang w:val="es-MX"/>
          </w:rPr>
          <m:t>)</m:t>
        </m:r>
      </m:oMath>
    </w:p>
    <w:p w14:paraId="6BAA22A3">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e</w:t>
      </w:r>
      <w:r>
        <w:rPr>
          <w:rFonts w:ascii="Century Schoolbook" w:hAnsi="Century Schoolbook"/>
          <w:sz w:val="22"/>
          <w:szCs w:val="22"/>
          <w:vertAlign w:val="superscript"/>
          <w:lang w:val="es-MX"/>
        </w:rPr>
        <w:t xml:space="preserve">-0.631210 </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6B3D08A6">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0.531948</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0DC6DDFF">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0.531948(</w:t>
      </w:r>
      <m:oMath>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r>
          <m:rPr>
            <m:sty m:val="p"/>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03293C0D">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0.531948 - 0.531948</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0D80F930">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0.531948 = 1.531948</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oMath>
    </w:p>
    <w:p w14:paraId="7800FEAE">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 xml:space="preserve">0.347236 = </w:t>
      </w:r>
      <m:oMath>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7FDDDDE3">
      <w:pPr>
        <w:pStyle w:val="3"/>
        <w:ind w:left="1080"/>
        <w:rPr>
          <w:rFonts w:ascii="Century Schoolbook" w:hAnsi="Century Schoolbook" w:eastAsiaTheme="minorEastAsia"/>
          <w:sz w:val="22"/>
          <w:szCs w:val="22"/>
        </w:rPr>
      </w:pPr>
      <w:r>
        <w:rPr>
          <w:rFonts w:ascii="Century Schoolbook" w:hAnsi="Century Schoolbook" w:eastAsiaTheme="minorEastAsia"/>
          <w:sz w:val="22"/>
          <w:szCs w:val="22"/>
        </w:rPr>
        <w:t>Holding all other variables constant, the model predicts that a white male student has an approximately 34.7% probability of eventually obtaining a BA.</w:t>
      </w:r>
    </w:p>
    <w:p w14:paraId="342FE3F7">
      <w:pPr>
        <w:pStyle w:val="3"/>
        <w:numPr>
          <w:ilvl w:val="1"/>
          <w:numId w:val="1"/>
        </w:numPr>
        <w:rPr>
          <w:rFonts w:ascii="Century Schoolbook" w:hAnsi="Century Schoolbook"/>
          <w:b/>
          <w:bCs/>
          <w:sz w:val="22"/>
          <w:szCs w:val="22"/>
        </w:rPr>
      </w:pPr>
      <w:r>
        <w:rPr>
          <w:rFonts w:ascii="Century Schoolbook" w:hAnsi="Century Schoolbook"/>
          <w:b/>
          <w:bCs/>
          <w:sz w:val="22"/>
          <w:szCs w:val="22"/>
        </w:rPr>
        <w:t>a white female</w:t>
      </w:r>
    </w:p>
    <w:p w14:paraId="0256BA43">
      <w:pPr>
        <w:pStyle w:val="3"/>
        <w:numPr>
          <w:ilvl w:val="2"/>
          <w:numId w:val="1"/>
        </w:numPr>
        <w:rPr>
          <w:rFonts w:ascii="Century Schoolbook" w:hAnsi="Century Schoolbook"/>
          <w:b/>
          <w:bCs/>
          <w:sz w:val="22"/>
          <w:szCs w:val="22"/>
        </w:rPr>
      </w:p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r>
          <m:rPr>
            <m:sty m:val="p"/>
          </m:rPr>
          <w:rPr>
            <w:rFonts w:ascii="Cambria Math" w:hAnsi="Cambria Math"/>
            <w:sz w:val="22"/>
            <w:szCs w:val="22"/>
          </w:rPr>
          <m:t>log⁡</m:t>
        </m:r>
        <m:r>
          <m:rP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rPr>
          <m:t>)</m:t>
        </m:r>
      </m:oMath>
    </w:p>
    <w:p w14:paraId="79563B64">
      <w:pPr>
        <w:pStyle w:val="3"/>
        <w:ind w:left="1080"/>
        <w:rPr>
          <w:rFonts w:ascii="Century Schoolbook" w:hAnsi="Century Schoolbook"/>
          <w:b/>
          <w:bCs/>
          <w:sz w:val="22"/>
          <w:szCs w:val="22"/>
        </w:rPr>
      </w:pPr>
      <m:oMathPara>
        <m:oMathParaPr>
          <m:jc m:val="left"/>
        </m:oMathPara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 −0.631210+0.382654= −0.248556</m:t>
          </m:r>
        </m:oMath>
      </m:oMathPara>
    </w:p>
    <w:p w14:paraId="54344DF1">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-0.248556</w:t>
      </w:r>
      <m:oMath>
        <m:r>
          <m:rPr/>
          <w:rPr>
            <w:rFonts w:ascii="Cambria Math" w:hAnsi="Cambria Math"/>
            <w:sz w:val="22"/>
            <w:szCs w:val="22"/>
            <w:lang w:val="es-MX"/>
          </w:rPr>
          <m:t>=</m:t>
        </m:r>
        <m:r>
          <m:rPr>
            <m:sty m:val="p"/>
          </m:rPr>
          <w:rPr>
            <w:rFonts w:ascii="Cambria Math" w:hAnsi="Cambria Math"/>
            <w:sz w:val="22"/>
            <w:szCs w:val="22"/>
            <w:lang w:val="es-MX"/>
          </w:rPr>
          <m:t>log⁡</m:t>
        </m:r>
        <m:r>
          <m:rPr/>
          <w:rPr>
            <w:rFonts w:ascii="Cambria Math" w:hAnsi="Cambria Math"/>
            <w:sz w:val="22"/>
            <w:szCs w:val="22"/>
            <w:lang w:val="es-MX"/>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lang w:val="es-MX"/>
          </w:rPr>
          <m:t>)</m:t>
        </m:r>
      </m:oMath>
    </w:p>
    <w:p w14:paraId="759EF9D5">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e</w:t>
      </w:r>
      <w:r>
        <w:rPr>
          <w:rFonts w:ascii="Century Schoolbook" w:hAnsi="Century Schoolbook"/>
          <w:sz w:val="22"/>
          <w:szCs w:val="22"/>
          <w:vertAlign w:val="superscript"/>
          <w:lang w:val="es-MX"/>
        </w:rPr>
        <w:t>-0.248556</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6EE344B5">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0.779925</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1FCFB5FD">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0.779925 (</w:t>
      </w:r>
      <m:oMath>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r>
          <m:rPr>
            <m:sty m:val="p"/>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7E85637A">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0.779925-0.779925</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5E4644D7">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0.779925 = 1.779925</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oMath>
    </w:p>
    <w:p w14:paraId="48CBE052">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 xml:space="preserve">0.438177= </w:t>
      </w:r>
      <m:oMath>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27E54662">
      <w:pPr>
        <w:pStyle w:val="3"/>
        <w:ind w:left="1080"/>
        <w:rPr>
          <w:rFonts w:ascii="Century Schoolbook" w:hAnsi="Century Schoolbook" w:eastAsiaTheme="minorEastAsia"/>
          <w:sz w:val="22"/>
          <w:szCs w:val="22"/>
        </w:rPr>
      </w:pPr>
      <w:r>
        <w:rPr>
          <w:rFonts w:ascii="Century Schoolbook" w:hAnsi="Century Schoolbook" w:eastAsiaTheme="minorEastAsia"/>
          <w:sz w:val="22"/>
          <w:szCs w:val="22"/>
        </w:rPr>
        <w:t>Holding all other variables constant, the model predicts that a white female student has an approximately 43.8% probability of eventually obtaining a BA.</w:t>
      </w:r>
    </w:p>
    <w:p w14:paraId="1DEF06DA">
      <w:pPr>
        <w:pStyle w:val="3"/>
        <w:numPr>
          <w:ilvl w:val="1"/>
          <w:numId w:val="1"/>
        </w:numPr>
        <w:rPr>
          <w:rFonts w:ascii="Century Schoolbook" w:hAnsi="Century Schoolbook"/>
          <w:b/>
          <w:bCs/>
          <w:sz w:val="22"/>
          <w:szCs w:val="22"/>
        </w:rPr>
      </w:pPr>
      <w:r>
        <w:rPr>
          <w:rFonts w:ascii="Century Schoolbook" w:hAnsi="Century Schoolbook"/>
          <w:b/>
          <w:bCs/>
          <w:sz w:val="22"/>
          <w:szCs w:val="22"/>
        </w:rPr>
        <w:t>a Hispanic male</w:t>
      </w:r>
    </w:p>
    <w:p w14:paraId="5FF72DDC">
      <w:pPr>
        <w:pStyle w:val="3"/>
        <w:numPr>
          <w:ilvl w:val="2"/>
          <w:numId w:val="1"/>
        </w:numPr>
        <w:rPr>
          <w:rFonts w:ascii="Century Schoolbook" w:hAnsi="Century Schoolbook"/>
          <w:b/>
          <w:bCs/>
          <w:sz w:val="22"/>
          <w:szCs w:val="22"/>
        </w:rPr>
      </w:p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r>
          <m:rPr>
            <m:sty m:val="p"/>
          </m:rPr>
          <w:rPr>
            <w:rFonts w:ascii="Cambria Math" w:hAnsi="Cambria Math"/>
            <w:sz w:val="22"/>
            <w:szCs w:val="22"/>
          </w:rPr>
          <m:t>log⁡</m:t>
        </m:r>
        <m:r>
          <m:rP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rPr>
          <m:t>)</m:t>
        </m:r>
      </m:oMath>
    </w:p>
    <w:p w14:paraId="28A74297">
      <w:pPr>
        <w:pStyle w:val="3"/>
        <w:ind w:left="1080"/>
        <w:rPr>
          <w:rFonts w:ascii="Century Schoolbook" w:hAnsi="Century Schoolbook"/>
          <w:b/>
          <w:bCs/>
          <w:sz w:val="22"/>
          <w:szCs w:val="22"/>
        </w:rPr>
      </w:pPr>
      <m:oMathPara>
        <m:oMathParaPr>
          <m:jc m:val="left"/>
        </m:oMathPara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 −0.631210−0.084418= −0.715628</m:t>
          </m:r>
        </m:oMath>
      </m:oMathPara>
    </w:p>
    <w:p w14:paraId="33B26363">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-0.715628</w:t>
      </w:r>
      <m:oMath>
        <m:r>
          <m:rPr/>
          <w:rPr>
            <w:rFonts w:ascii="Cambria Math" w:hAnsi="Cambria Math"/>
            <w:sz w:val="22"/>
            <w:szCs w:val="22"/>
            <w:lang w:val="es-MX"/>
          </w:rPr>
          <m:t>=</m:t>
        </m:r>
        <m:r>
          <m:rPr>
            <m:sty m:val="p"/>
          </m:rPr>
          <w:rPr>
            <w:rFonts w:ascii="Cambria Math" w:hAnsi="Cambria Math"/>
            <w:sz w:val="22"/>
            <w:szCs w:val="22"/>
            <w:lang w:val="es-MX"/>
          </w:rPr>
          <m:t>log⁡</m:t>
        </m:r>
        <m:r>
          <m:rPr/>
          <w:rPr>
            <w:rFonts w:ascii="Cambria Math" w:hAnsi="Cambria Math"/>
            <w:sz w:val="22"/>
            <w:szCs w:val="22"/>
            <w:lang w:val="es-MX"/>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lang w:val="es-MX"/>
          </w:rPr>
          <m:t>)</m:t>
        </m:r>
      </m:oMath>
    </w:p>
    <w:p w14:paraId="5D9BA035">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e</w:t>
      </w:r>
      <w:r>
        <w:rPr>
          <w:rFonts w:ascii="Century Schoolbook" w:hAnsi="Century Schoolbook"/>
          <w:sz w:val="22"/>
          <w:szCs w:val="22"/>
          <w:vertAlign w:val="superscript"/>
          <w:lang w:val="es-MX"/>
        </w:rPr>
        <w:t>-0.715628</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365E09E4">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0.488884</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50AE343D">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0.488884 (</w:t>
      </w:r>
      <m:oMath>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r>
          <m:rPr>
            <m:sty m:val="p"/>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4616DBC8">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w:t>
      </w:r>
      <w:r>
        <w:rPr>
          <w:rFonts w:ascii="Century Schoolbook" w:hAnsi="Century Schoolbook"/>
          <w:sz w:val="22"/>
          <w:szCs w:val="22"/>
          <w:lang w:val="es-MX"/>
        </w:rPr>
        <w:t xml:space="preserve"> </w:t>
      </w:r>
      <w:r>
        <w:rPr>
          <w:rFonts w:ascii="Century Schoolbook" w:hAnsi="Century Schoolbook" w:eastAsiaTheme="minorEastAsia"/>
          <w:sz w:val="22"/>
          <w:szCs w:val="22"/>
          <w:lang w:val="es-MX"/>
        </w:rPr>
        <w:t>488884-0.488884</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75FA5667">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w:t>
      </w:r>
      <w:r>
        <w:rPr>
          <w:rFonts w:ascii="Century Schoolbook" w:hAnsi="Century Schoolbook"/>
          <w:sz w:val="22"/>
          <w:szCs w:val="22"/>
          <w:lang w:val="es-MX"/>
        </w:rPr>
        <w:t xml:space="preserve"> </w:t>
      </w:r>
      <w:r>
        <w:rPr>
          <w:rFonts w:ascii="Century Schoolbook" w:hAnsi="Century Schoolbook" w:eastAsiaTheme="minorEastAsia"/>
          <w:sz w:val="22"/>
          <w:szCs w:val="22"/>
          <w:lang w:val="es-MX"/>
        </w:rPr>
        <w:t>488884 = 1.488884</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oMath>
    </w:p>
    <w:p w14:paraId="1FD1A9F3">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w:t>
      </w:r>
      <w:r>
        <w:rPr>
          <w:rFonts w:ascii="Century Schoolbook" w:hAnsi="Century Schoolbook"/>
          <w:sz w:val="22"/>
          <w:szCs w:val="22"/>
          <w:lang w:val="es-MX"/>
        </w:rPr>
        <w:t xml:space="preserve"> </w:t>
      </w:r>
      <w:r>
        <w:rPr>
          <w:rFonts w:ascii="Century Schoolbook" w:hAnsi="Century Schoolbook" w:eastAsiaTheme="minorEastAsia"/>
          <w:sz w:val="22"/>
          <w:szCs w:val="22"/>
          <w:lang w:val="es-MX"/>
        </w:rPr>
        <w:t xml:space="preserve">328356= </w:t>
      </w:r>
      <m:oMath>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5D249864">
      <w:pPr>
        <w:pStyle w:val="3"/>
        <w:ind w:left="1080"/>
        <w:rPr>
          <w:rFonts w:ascii="Century Schoolbook" w:hAnsi="Century Schoolbook" w:eastAsiaTheme="minorEastAsia"/>
          <w:sz w:val="22"/>
          <w:szCs w:val="22"/>
        </w:rPr>
      </w:pPr>
      <w:r>
        <w:rPr>
          <w:rFonts w:ascii="Century Schoolbook" w:hAnsi="Century Schoolbook" w:eastAsiaTheme="minorEastAsia"/>
          <w:sz w:val="22"/>
          <w:szCs w:val="22"/>
        </w:rPr>
        <w:t>Holding all other variables constant, the model predicts that a Hispanic male student has an approximately 32.8% probability of eventually obtaining a BA.</w:t>
      </w:r>
    </w:p>
    <w:p w14:paraId="0F918E96">
      <w:pPr>
        <w:pStyle w:val="3"/>
        <w:numPr>
          <w:ilvl w:val="1"/>
          <w:numId w:val="1"/>
        </w:numPr>
        <w:rPr>
          <w:rFonts w:ascii="Century Schoolbook" w:hAnsi="Century Schoolbook"/>
          <w:b/>
          <w:bCs/>
          <w:sz w:val="22"/>
          <w:szCs w:val="22"/>
        </w:rPr>
      </w:pPr>
      <w:r>
        <w:rPr>
          <w:rFonts w:ascii="Century Schoolbook" w:hAnsi="Century Schoolbook"/>
          <w:b/>
          <w:bCs/>
          <w:sz w:val="22"/>
          <w:szCs w:val="22"/>
        </w:rPr>
        <w:t>a Hispanic female</w:t>
      </w:r>
    </w:p>
    <w:p w14:paraId="6AFA53CB">
      <w:pPr>
        <w:pStyle w:val="3"/>
        <w:numPr>
          <w:ilvl w:val="2"/>
          <w:numId w:val="1"/>
        </w:numPr>
        <w:rPr>
          <w:rFonts w:ascii="Century Schoolbook" w:hAnsi="Century Schoolbook"/>
          <w:b/>
          <w:bCs/>
          <w:sz w:val="22"/>
          <w:szCs w:val="22"/>
        </w:rPr>
      </w:p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m:t>
        </m:r>
        <m:r>
          <m:rPr>
            <m:sty m:val="p"/>
          </m:rPr>
          <w:rPr>
            <w:rFonts w:ascii="Cambria Math" w:hAnsi="Cambria Math"/>
            <w:sz w:val="22"/>
            <w:szCs w:val="22"/>
          </w:rPr>
          <m:t>log⁡</m:t>
        </m:r>
        <m:r>
          <m:rP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rPr>
          <m:t>)</m:t>
        </m:r>
      </m:oMath>
    </w:p>
    <w:p w14:paraId="206D780D">
      <w:pPr>
        <w:pStyle w:val="3"/>
        <w:ind w:left="1080"/>
        <w:rPr>
          <w:rFonts w:ascii="Century Schoolbook" w:hAnsi="Century Schoolbook"/>
          <w:b/>
          <w:bCs/>
          <w:sz w:val="22"/>
          <w:szCs w:val="22"/>
        </w:rPr>
      </w:pPr>
      <m:oMathPara>
        <m:oMathParaPr>
          <m:jc m:val="left"/>
        </m:oMathParaPr>
        <m:oMath>
          <m:sSub>
            <m:sSubPr>
              <m:ctrlPr>
                <w:rPr>
                  <w:rFonts w:ascii="Cambria Math" w:hAnsi="Cambria Math"/>
                  <w:sz w:val="22"/>
                  <w:szCs w:val="22"/>
                </w:rPr>
              </m:ctrlPr>
            </m:sSubPr>
            <m:e>
              <m:r>
                <m:rPr/>
                <w:rPr>
                  <w:rFonts w:ascii="Cambria Math" w:hAnsi="Cambria Math"/>
                  <w:sz w:val="22"/>
                  <w:szCs w:val="22"/>
                </w:rPr>
                <m:t>η</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rPr>
            <m:t>= −0.631210−0.084418+0.382654= −0.332974</m:t>
          </m:r>
        </m:oMath>
      </m:oMathPara>
    </w:p>
    <w:p w14:paraId="22A35461">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-0.332974</w:t>
      </w:r>
      <m:oMath>
        <m:r>
          <m:rPr/>
          <w:rPr>
            <w:rFonts w:ascii="Cambria Math" w:hAnsi="Cambria Math"/>
            <w:sz w:val="22"/>
            <w:szCs w:val="22"/>
            <w:lang w:val="es-MX"/>
          </w:rPr>
          <m:t>=</m:t>
        </m:r>
        <m:r>
          <m:rPr>
            <m:sty m:val="p"/>
          </m:rPr>
          <w:rPr>
            <w:rFonts w:ascii="Cambria Math" w:hAnsi="Cambria Math"/>
            <w:sz w:val="22"/>
            <w:szCs w:val="22"/>
            <w:lang w:val="es-MX"/>
          </w:rPr>
          <m:t>log⁡</m:t>
        </m:r>
        <m:r>
          <m:rPr/>
          <w:rPr>
            <w:rFonts w:ascii="Cambria Math" w:hAnsi="Cambria Math"/>
            <w:sz w:val="22"/>
            <w:szCs w:val="22"/>
            <w:lang w:val="es-MX"/>
          </w:rPr>
          <m:t>(</m:t>
        </m:r>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r>
          <m:rPr/>
          <w:rPr>
            <w:rFonts w:ascii="Cambria Math" w:hAnsi="Cambria Math"/>
            <w:sz w:val="22"/>
            <w:szCs w:val="22"/>
            <w:lang w:val="es-MX"/>
          </w:rPr>
          <m:t>)</m:t>
        </m:r>
      </m:oMath>
    </w:p>
    <w:p w14:paraId="6EE8D5EB">
      <w:pPr>
        <w:pStyle w:val="3"/>
        <w:ind w:left="1080"/>
        <w:rPr>
          <w:rFonts w:ascii="Century Schoolbook" w:hAnsi="Century Schoolbook" w:eastAsiaTheme="minorEastAsia"/>
          <w:sz w:val="22"/>
          <w:szCs w:val="22"/>
          <w:lang w:val="es-MX"/>
        </w:rPr>
      </w:pPr>
      <w:r>
        <w:rPr>
          <w:rFonts w:ascii="Century Schoolbook" w:hAnsi="Century Schoolbook"/>
          <w:sz w:val="22"/>
          <w:szCs w:val="22"/>
          <w:lang w:val="es-MX"/>
        </w:rPr>
        <w:t>e</w:t>
      </w:r>
      <w:r>
        <w:rPr>
          <w:rFonts w:ascii="Century Schoolbook" w:hAnsi="Century Schoolbook"/>
          <w:sz w:val="22"/>
          <w:szCs w:val="22"/>
          <w:vertAlign w:val="superscript"/>
          <w:lang w:val="es-MX"/>
        </w:rPr>
        <w:t>-0.332974</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7563798D">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0.716789</w:t>
      </w:r>
      <w:r>
        <w:rPr>
          <w:rFonts w:ascii="Century Schoolbook" w:hAnsi="Century Schoolbook"/>
          <w:sz w:val="22"/>
          <w:szCs w:val="22"/>
          <w:lang w:val="es-MX"/>
        </w:rPr>
        <w:t xml:space="preserve">= </w:t>
      </w:r>
      <m:oMath>
        <m:f>
          <m:fPr>
            <m:ctrlPr>
              <w:rPr>
                <w:rFonts w:ascii="Cambria Math" w:hAnsi="Cambria Math"/>
                <w:i/>
                <w:sz w:val="22"/>
                <w:szCs w:val="22"/>
              </w:rPr>
            </m:ctrlPr>
          </m:fPr>
          <m:num>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num>
          <m:den>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ctrlPr>
              <w:rPr>
                <w:rFonts w:ascii="Cambria Math" w:hAnsi="Cambria Math"/>
                <w:i/>
                <w:sz w:val="22"/>
                <w:szCs w:val="22"/>
              </w:rPr>
            </m:ctrlPr>
          </m:den>
        </m:f>
      </m:oMath>
    </w:p>
    <w:p w14:paraId="043B06B2">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w:t>
      </w:r>
      <w:r>
        <w:rPr>
          <w:rFonts w:ascii="Century Schoolbook" w:hAnsi="Century Schoolbook"/>
          <w:sz w:val="22"/>
          <w:szCs w:val="22"/>
          <w:lang w:val="es-MX"/>
        </w:rPr>
        <w:t xml:space="preserve"> </w:t>
      </w:r>
      <w:r>
        <w:rPr>
          <w:rFonts w:ascii="Century Schoolbook" w:hAnsi="Century Schoolbook" w:eastAsiaTheme="minorEastAsia"/>
          <w:sz w:val="22"/>
          <w:szCs w:val="22"/>
          <w:lang w:val="es-MX"/>
        </w:rPr>
        <w:t>716789(</w:t>
      </w:r>
      <m:oMath>
        <m:r>
          <m:rPr/>
          <w:rPr>
            <w:rFonts w:ascii="Cambria Math" w:hAnsi="Cambria Math"/>
            <w:sz w:val="22"/>
            <w:szCs w:val="22"/>
            <w:lang w:val="es-MX"/>
          </w:rPr>
          <m:t>1−</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r>
          <m:rPr>
            <m:sty m:val="p"/>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677C8080">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0.716789-0.716789</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 xml:space="preserve">)= </m:t>
        </m:r>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2E5AA44A">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0.716789 = 1.716789</w:t>
      </w:r>
      <m:oMath>
        <m:sSub>
          <m:sSubPr>
            <m:ctrlPr>
              <w:rPr>
                <w:rFonts w:ascii="Cambria Math" w:hAnsi="Cambria Math"/>
                <w:sz w:val="22"/>
                <w:szCs w:val="22"/>
              </w:rPr>
            </m:ctrlPr>
          </m:sSubPr>
          <m:e>
            <m:r>
              <m:rPr/>
              <w:rPr>
                <w:rFonts w:ascii="Cambria Math" w:hAnsi="Cambria Math"/>
                <w:sz w:val="22"/>
                <w:szCs w:val="22"/>
                <w:lang w:val="es-MX"/>
              </w:rPr>
              <m:t>(</m:t>
            </m:r>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r>
          <m:rPr/>
          <w:rPr>
            <w:rFonts w:ascii="Cambria Math" w:hAnsi="Cambria Math"/>
            <w:sz w:val="22"/>
            <w:szCs w:val="22"/>
            <w:lang w:val="es-MX"/>
          </w:rPr>
          <m:t>)</m:t>
        </m:r>
      </m:oMath>
    </w:p>
    <w:p w14:paraId="665D7309">
      <w:pPr>
        <w:pStyle w:val="3"/>
        <w:ind w:left="1080"/>
        <w:rPr>
          <w:rFonts w:ascii="Century Schoolbook" w:hAnsi="Century Schoolbook" w:eastAsiaTheme="minorEastAsia"/>
          <w:sz w:val="22"/>
          <w:szCs w:val="22"/>
          <w:lang w:val="es-MX"/>
        </w:rPr>
      </w:pPr>
      <w:r>
        <w:rPr>
          <w:rFonts w:ascii="Century Schoolbook" w:hAnsi="Century Schoolbook" w:eastAsiaTheme="minorEastAsia"/>
          <w:sz w:val="22"/>
          <w:szCs w:val="22"/>
          <w:lang w:val="es-MX"/>
        </w:rPr>
        <w:t xml:space="preserve">0.417517= </w:t>
      </w:r>
      <m:oMath>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ij</m:t>
            </m:r>
            <m:ctrlPr>
              <w:rPr>
                <w:rFonts w:ascii="Cambria Math" w:hAnsi="Cambria Math"/>
                <w:sz w:val="22"/>
                <w:szCs w:val="22"/>
              </w:rPr>
            </m:ctrlPr>
          </m:sub>
        </m:sSub>
      </m:oMath>
    </w:p>
    <w:p w14:paraId="48EDEF18">
      <w:pPr>
        <w:pStyle w:val="3"/>
        <w:ind w:left="1080"/>
        <w:rPr>
          <w:rFonts w:ascii="Century Schoolbook" w:hAnsi="Century Schoolbook"/>
          <w:sz w:val="22"/>
          <w:szCs w:val="22"/>
        </w:rPr>
      </w:pPr>
      <w:r>
        <w:rPr>
          <w:rFonts w:ascii="Century Schoolbook" w:hAnsi="Century Schoolbook"/>
          <w:sz w:val="22"/>
          <w:szCs w:val="22"/>
        </w:rPr>
        <w:t>Holding all other variables constant, the model predicts that a Hispanic female student has an approximately 41.8% probability of eventually obtaining a BA.</w:t>
      </w:r>
    </w:p>
    <w:p w14:paraId="3FCE5E61">
      <w:pPr>
        <w:pStyle w:val="3"/>
        <w:numPr>
          <w:ilvl w:val="0"/>
          <w:numId w:val="1"/>
        </w:numPr>
        <w:rPr>
          <w:rFonts w:ascii="Century Schoolbook" w:hAnsi="Century Schoolbook"/>
          <w:b/>
          <w:bCs/>
          <w:sz w:val="22"/>
          <w:szCs w:val="22"/>
        </w:rPr>
      </w:pPr>
      <w:r>
        <w:rPr>
          <w:rFonts w:ascii="Century Schoolbook" w:hAnsi="Century Schoolbook"/>
          <w:b/>
          <w:bCs/>
          <w:sz w:val="22"/>
          <w:szCs w:val="22"/>
        </w:rPr>
        <w:t>Explain why the change in probability associated with being female is different for Hispanic and white students.</w:t>
      </w:r>
    </w:p>
    <w:p w14:paraId="516CED31">
      <w:pPr>
        <w:pStyle w:val="3"/>
        <w:ind w:left="-360" w:firstLine="360"/>
        <w:rPr>
          <w:rFonts w:ascii="Century Schoolbook" w:hAnsi="Century Schoolbook"/>
          <w:sz w:val="22"/>
          <w:szCs w:val="22"/>
          <w:highlight w:val="yellow"/>
        </w:rPr>
      </w:pPr>
      <w:r>
        <w:rPr>
          <w:rFonts w:ascii="Century Schoolbook" w:hAnsi="Century Schoolbook"/>
          <w:sz w:val="22"/>
          <w:szCs w:val="22"/>
        </w:rPr>
        <w:t xml:space="preserve">The change in probability associated with being female is different for Hispanic and white students because this model uses a logit link function. The female coefficient is the same in both cases, but it is added on the log-odds scale. For white students, the predicted probability increases from 0.347 for white males to 0.438 for white females; this is a change of ~9.1 percentage points. For Hispanic students, the predicted probability increases from 0.328 for Hispanic males to 0.418 for Hispanic females; this is a change of about ~8.9 percentage points. In plain language, even though the same female coefficient is being added, the probability change is slightly different because white and Hispanic students start from different baseline probabilities. </w:t>
      </w:r>
      <w:r>
        <w:rPr>
          <w:rFonts w:ascii="Century Schoolbook" w:hAnsi="Century Schoolbook"/>
          <w:sz w:val="22"/>
          <w:szCs w:val="22"/>
          <w:highlight w:val="yellow"/>
        </w:rPr>
        <w:t>The same baseline provides the same starting point, however, when the coefficient or effect of gender is introduced, the marginal effect of it changes depending on the category. So overall, the effect of female is not constant across both groups.</w:t>
      </w:r>
    </w:p>
    <w:p w14:paraId="69E9C57A">
      <w:pPr>
        <w:pStyle w:val="3"/>
        <w:ind w:left="-360" w:firstLine="360"/>
        <w:rPr>
          <w:rFonts w:ascii="Century Schoolbook" w:hAnsi="Century Schoolbook"/>
          <w:sz w:val="22"/>
          <w:szCs w:val="22"/>
          <w:highlight w:val="green"/>
        </w:rPr>
      </w:pPr>
      <w:r>
        <w:rPr>
          <w:rFonts w:hint="eastAsia" w:ascii="Century Schoolbook" w:hAnsi="Century Schoolbook"/>
          <w:sz w:val="22"/>
          <w:szCs w:val="22"/>
          <w:highlight w:val="green"/>
        </w:rPr>
        <w:t>The baseline probabilities differ for white and Hispanic students, so the same FEMALE coefficient produces slightly different probability changes after the nonlinear logit transformation.</w:t>
      </w:r>
    </w:p>
    <w:p w14:paraId="7BD4F654">
      <w:pPr>
        <w:pStyle w:val="3"/>
        <w:numPr>
          <w:ilvl w:val="0"/>
          <w:numId w:val="1"/>
        </w:numPr>
        <w:rPr>
          <w:rFonts w:ascii="Century Schoolbook" w:hAnsi="Century Schoolbook"/>
          <w:b/>
          <w:bCs/>
          <w:sz w:val="22"/>
          <w:szCs w:val="22"/>
        </w:rPr>
      </w:pPr>
      <w:r>
        <w:rPr>
          <w:rFonts w:ascii="Century Schoolbook" w:hAnsi="Century Schoolbook"/>
          <w:b/>
          <w:bCs/>
          <w:sz w:val="22"/>
          <w:szCs w:val="22"/>
        </w:rPr>
        <w:t>We are interested in whether Catholic schools promote higher college graduation rates in the NELS sample. Investigate this question by introducing the variables for sector and appropriate control variables at level 2. Interpret the relevant model coefficients for the population-average estimates.</w:t>
      </w:r>
    </w:p>
    <w:p w14:paraId="65E3C3D9">
      <w:pPr>
        <w:pStyle w:val="3"/>
        <w:ind w:left="-360"/>
        <w:jc w:val="center"/>
        <w:rPr>
          <w:rFonts w:ascii="Century Schoolbook" w:hAnsi="Century Schoolbook"/>
          <w:b/>
          <w:bCs/>
          <w:sz w:val="22"/>
          <w:szCs w:val="22"/>
        </w:rPr>
      </w:pPr>
    </w:p>
    <w:p w14:paraId="3EF3EBED">
      <w:pPr>
        <w:pStyle w:val="3"/>
        <w:ind w:left="-360"/>
        <w:jc w:val="center"/>
        <w:rPr>
          <w:rFonts w:ascii="Century Schoolbook" w:hAnsi="Century Schoolbook"/>
          <w:b/>
          <w:bCs/>
          <w:sz w:val="22"/>
          <w:szCs w:val="22"/>
        </w:rPr>
      </w:pPr>
      <w:r>
        <w:rPr>
          <w:rFonts w:ascii="Century Schoolbook" w:hAnsi="Century Schoolbook" w:eastAsiaTheme="minorEastAsia"/>
          <w:sz w:val="22"/>
          <w:szCs w:val="22"/>
        </w:rPr>
        <w:drawing>
          <wp:inline distT="0" distB="0" distL="0" distR="0">
            <wp:extent cx="4803775" cy="6609715"/>
            <wp:effectExtent l="114300" t="133350" r="92075" b="114935"/>
            <wp:docPr id="1503254487" name="Picture 4" descr="The image appears to be a table or chart presenting coefficients, standard errors, t-ratios, and p-values for a statistical model, possibly related to demographic or socio-economic factors. It includes variables like 'CATHOLIC', 'URBAN', and 'SCHSIZE' and seems to show their effects on an outcome, such as an intercept or slope. The p-values indicate the statistical significance of these effects, with some values being below the common threshold of 0.05 (indicating statistical significance), and others abov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54487" name="Picture 4" descr="The image appears to be a table or chart presenting coefficients, standard errors, t-ratios, and p-values for a statistical model, possibly related to demographic or socio-economic factors. It includes variables like 'CATHOLIC', 'URBAN', and 'SCHSIZE' and seems to show their effects on an outcome, such as an intercept or slope. The p-values indicate the statistical significance of these effects, with some values being below the common threshold of 0.05 (indicating statistical significance), and others above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18666" cy="663038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F170ACB">
      <w:pPr>
        <w:pStyle w:val="3"/>
        <w:ind w:left="-360" w:hanging="270"/>
        <w:rPr>
          <w:rFonts w:ascii="Century Schoolbook" w:hAnsi="Century Schoolbook"/>
          <w:sz w:val="22"/>
          <w:szCs w:val="22"/>
        </w:rPr>
      </w:pPr>
      <w:r>
        <w:rPr>
          <w:rFonts w:ascii="Century Schoolbook" w:hAnsi="Century Schoolbook"/>
          <w:b/>
          <w:bCs/>
          <w:sz w:val="22"/>
          <w:szCs w:val="22"/>
        </w:rPr>
        <w:tab/>
      </w:r>
      <w:r>
        <w:rPr>
          <w:rFonts w:ascii="Century Schoolbook" w:hAnsi="Century Schoolbook"/>
          <w:b/>
          <w:bCs/>
          <w:sz w:val="22"/>
          <w:szCs w:val="22"/>
        </w:rPr>
        <w:tab/>
      </w:r>
      <w:r>
        <w:rPr>
          <w:rFonts w:ascii="Century Schoolbook" w:hAnsi="Century Schoolbook"/>
          <w:sz w:val="22"/>
          <w:szCs w:val="22"/>
        </w:rPr>
        <w:t>To determine whether Catholic schools promote higher college graduation rates in the NELS, we included the location of the school and the school size in our model. The results suggest that Catholic school attendance is significantly associated with higher log-odds of college graduation, while urban location and school size are not statistically significant predictors in this model.</w:t>
      </w:r>
    </w:p>
    <w:p w14:paraId="51227475">
      <w:pPr>
        <w:pStyle w:val="3"/>
        <w:ind w:left="-360" w:firstLine="360"/>
        <w:rPr>
          <w:rFonts w:ascii="Century Schoolbook" w:hAnsi="Century Schoolbook" w:eastAsiaTheme="minorEastAsia"/>
          <w:sz w:val="22"/>
          <w:szCs w:val="22"/>
        </w:rPr>
      </w:pPr>
      <w:r>
        <w:rPr>
          <w:rFonts w:ascii="Century Schoolbook" w:hAnsi="Century Schoolbook"/>
          <w:sz w:val="22"/>
          <w:szCs w:val="22"/>
        </w:rPr>
        <w:t xml:space="preserve">For our baseline parameter, 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m:t>
            </m:r>
            <m:ctrlPr>
              <w:rPr>
                <w:rFonts w:ascii="Cambria Math" w:hAnsi="Cambria Math"/>
                <w:sz w:val="22"/>
                <w:szCs w:val="22"/>
              </w:rPr>
            </m:ctrlPr>
          </m:sub>
        </m:sSub>
      </m:oMath>
      <w:r>
        <w:rPr>
          <w:rFonts w:ascii="Century Schoolbook" w:hAnsi="Century Schoolbook"/>
          <w:sz w:val="22"/>
          <w:szCs w:val="22"/>
        </w:rPr>
        <w:t xml:space="preserve"> estimate is 1.187445. This estimate shows that, on average, students in Catholic schools have higher log-odds of college graduation than comparable students in non-Catholic schools, holding the other variables in the model constant.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0.0039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w:t>
      </w:r>
      <w:r>
        <w:rPr>
          <w:rFonts w:ascii="Century Schoolbook" w:hAnsi="Century Schoolbook" w:eastAsiaTheme="minorEastAsia"/>
          <w:sz w:val="22"/>
          <w:szCs w:val="22"/>
          <w:highlight w:val="yellow"/>
        </w:rPr>
        <w:t>This estimate means that the log-odds are higher for catholic schools when it comes to graduation from college. Moreover, this shows a type of school effect or a gap in education.</w:t>
      </w:r>
    </w:p>
    <w:p w14:paraId="1D806278">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rPr>
        <w:t xml:space="preserve">Next, we must consider whether other variables might influence college graduation rates as well. To begin, </w:t>
      </w: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m:t>
            </m:r>
            <m:ctrlPr>
              <w:rPr>
                <w:rFonts w:ascii="Cambria Math" w:hAnsi="Cambria Math"/>
                <w:sz w:val="22"/>
                <w:szCs w:val="22"/>
              </w:rPr>
            </m:ctrlPr>
          </m:sub>
        </m:sSub>
      </m:oMath>
      <w:r>
        <w:rPr>
          <w:rFonts w:ascii="Century Schoolbook" w:hAnsi="Century Schoolbook"/>
          <w:sz w:val="22"/>
          <w:szCs w:val="22"/>
        </w:rPr>
        <w:t xml:space="preserve"> estimate is 0.055027. This estimate suggests that students in urban schools have very slightly higher estimated log-odds of graduation than students in non-urban schools. However,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0.877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02</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xml:space="preserve">. Similarly, </w:t>
      </w:r>
      <w:r>
        <w:rPr>
          <w:rFonts w:ascii="Century Schoolbook" w:hAnsi="Century Schoolbook"/>
          <w:sz w:val="22"/>
          <w:szCs w:val="22"/>
        </w:rPr>
        <w:t xml:space="preserve">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03</m:t>
            </m:r>
            <m:ctrlPr>
              <w:rPr>
                <w:rFonts w:ascii="Cambria Math" w:hAnsi="Cambria Math"/>
                <w:sz w:val="22"/>
                <w:szCs w:val="22"/>
              </w:rPr>
            </m:ctrlPr>
          </m:sub>
        </m:sSub>
      </m:oMath>
      <w:r>
        <w:rPr>
          <w:rFonts w:ascii="Century Schoolbook" w:hAnsi="Century Schoolbook"/>
          <w:sz w:val="22"/>
          <w:szCs w:val="22"/>
        </w:rPr>
        <w:t xml:space="preserve"> estimate is - 0.000115; </w:t>
      </w:r>
      <w:r>
        <w:rPr>
          <w:rFonts w:ascii="Century Schoolbook" w:hAnsi="Century Schoolbook"/>
          <w:sz w:val="22"/>
          <w:szCs w:val="22"/>
          <w:highlight w:val="yellow"/>
        </w:rPr>
        <w:t>this value represents the expected difference in log-odds of college graduation associated with each one-unit increase in the size of the school.</w:t>
      </w:r>
      <w:r>
        <w:rPr>
          <w:rFonts w:ascii="Century Schoolbook" w:hAnsi="Century Schoolbook"/>
          <w:sz w:val="22"/>
          <w:szCs w:val="22"/>
        </w:rPr>
        <w:t xml:space="preserve"> This estimate suggests that, holding Catholic school status and urban status constant, each one-unit increase in school size is associated with a </w:t>
      </w:r>
      <w:r>
        <w:rPr>
          <w:rFonts w:ascii="Century Schoolbook" w:hAnsi="Century Schoolbook"/>
          <w:i/>
          <w:iCs/>
          <w:sz w:val="22"/>
          <w:szCs w:val="22"/>
        </w:rPr>
        <w:t>very small</w:t>
      </w:r>
      <w:r>
        <w:rPr>
          <w:rFonts w:ascii="Century Schoolbook" w:hAnsi="Century Schoolbook"/>
          <w:sz w:val="22"/>
          <w:szCs w:val="22"/>
        </w:rPr>
        <w:t xml:space="preserve"> decrease in the expected log-odds of college graduation. However, with a </w:t>
      </w:r>
      <m:oMath>
        <m:sSub>
          <m:sSubPr>
            <m:ctrlPr>
              <w:rPr>
                <w:rFonts w:ascii="Cambria Math" w:hAnsi="Cambria Math"/>
                <w:sz w:val="22"/>
                <w:szCs w:val="22"/>
              </w:rPr>
            </m:ctrlPr>
          </m:sSubPr>
          <m:e>
            <m:r>
              <m:rPr/>
              <w:rPr>
                <w:rFonts w:ascii="Cambria Math" w:hAnsi="Cambria Math"/>
                <w:sz w:val="22"/>
                <w:szCs w:val="22"/>
              </w:rPr>
              <m:t>p</m:t>
            </m:r>
            <m:ctrlPr>
              <w:rPr>
                <w:rFonts w:ascii="Cambria Math" w:hAnsi="Cambria Math"/>
                <w:sz w:val="22"/>
                <w:szCs w:val="22"/>
              </w:rPr>
            </m:ctrlPr>
          </m:e>
          <m:sub>
            <m:r>
              <m:rPr/>
              <w:rPr>
                <w:rFonts w:ascii="Cambria Math" w:hAnsi="Cambria Math"/>
                <w:sz w:val="22"/>
                <w:szCs w:val="22"/>
              </w:rPr>
              <m:t>value</m:t>
            </m:r>
            <m:ctrlPr>
              <w:rPr>
                <w:rFonts w:ascii="Cambria Math" w:hAnsi="Cambria Math"/>
                <w:sz w:val="22"/>
                <w:szCs w:val="22"/>
              </w:rPr>
            </m:ctrlPr>
          </m:sub>
        </m:sSub>
      </m:oMath>
      <w:r>
        <w:rPr>
          <w:rFonts w:ascii="Century Schoolbook" w:hAnsi="Century Schoolbook"/>
          <w:sz w:val="22"/>
          <w:szCs w:val="22"/>
        </w:rPr>
        <w:t xml:space="preserve"> of 0.555 and an </w:t>
      </w:r>
      <m:oMath>
        <m:r>
          <m:rPr/>
          <w:rPr>
            <w:rFonts w:ascii="Cambria Math" w:hAnsi="Cambria Math"/>
            <w:sz w:val="22"/>
            <w:szCs w:val="22"/>
          </w:rPr>
          <m:t>α</m:t>
        </m:r>
        <m:r>
          <m:rPr>
            <m:sty m:val="p"/>
          </m:rPr>
          <w:rPr>
            <w:rFonts w:ascii="Cambria Math" w:hAnsi="Cambria Math"/>
            <w:sz w:val="22"/>
            <w:szCs w:val="22"/>
          </w:rPr>
          <m:t>=</m:t>
        </m:r>
        <m:r>
          <m:rPr/>
          <w:rPr>
            <w:rFonts w:ascii="Cambria Math" w:hAnsi="Cambria Math"/>
            <w:sz w:val="22"/>
            <w:szCs w:val="22"/>
          </w:rPr>
          <m:t xml:space="preserve">0.05 </m:t>
        </m:r>
      </m:oMath>
      <w:r>
        <w:rPr>
          <w:rFonts w:ascii="Century Schoolbook" w:hAnsi="Century Schoolbook"/>
          <w:sz w:val="22"/>
          <w:szCs w:val="22"/>
        </w:rPr>
        <w:t xml:space="preserve">, I fail to reject </w:t>
      </w:r>
      <m:oMath>
        <m:sSub>
          <m:sSubPr>
            <m:ctrlPr>
              <w:rPr>
                <w:rFonts w:ascii="Cambria Math" w:hAnsi="Cambria Math"/>
                <w:sz w:val="22"/>
                <w:szCs w:val="22"/>
              </w:rPr>
            </m:ctrlPr>
          </m:sSubPr>
          <m:e>
            <m:r>
              <m:rPr/>
              <w:rPr>
                <w:rFonts w:ascii="Cambria Math" w:hAnsi="Cambria Math"/>
                <w:sz w:val="22"/>
                <w:szCs w:val="22"/>
              </w:rPr>
              <m:t>H</m:t>
            </m:r>
            <m:ctrlPr>
              <w:rPr>
                <w:rFonts w:ascii="Cambria Math" w:hAnsi="Cambria Math"/>
                <w:sz w:val="22"/>
                <w:szCs w:val="22"/>
              </w:rPr>
            </m:ctrlPr>
          </m:e>
          <m:sub>
            <m:r>
              <m:rPr/>
              <w:rPr>
                <w:rFonts w:ascii="Cambria Math" w:hAnsi="Cambria Math"/>
                <w:sz w:val="22"/>
                <w:szCs w:val="22"/>
              </w:rPr>
              <m:t>0</m:t>
            </m:r>
            <m:ctrlPr>
              <w:rPr>
                <w:rFonts w:ascii="Cambria Math" w:hAnsi="Cambria Math"/>
                <w:sz w:val="22"/>
                <w:szCs w:val="22"/>
              </w:rPr>
            </m:ctrlPr>
          </m:sub>
        </m:sSub>
      </m:oMath>
      <w:r>
        <w:rPr>
          <w:rFonts w:ascii="Century Schoolbook" w:hAnsi="Century Schoolbook" w:eastAsiaTheme="minorEastAsia"/>
          <w:sz w:val="22"/>
          <w:szCs w:val="22"/>
        </w:rPr>
        <w:t xml:space="preserve"> that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03</m:t>
            </m:r>
            <m:ctrlPr>
              <w:rPr>
                <w:rFonts w:ascii="Cambria Math" w:hAnsi="Cambria Math"/>
                <w:sz w:val="22"/>
                <w:szCs w:val="22"/>
              </w:rPr>
            </m:ctrlPr>
          </m:sub>
        </m:sSub>
        <m:r>
          <m:rPr/>
          <w:rPr>
            <w:rFonts w:ascii="Cambria Math" w:hAnsi="Cambria Math"/>
            <w:sz w:val="22"/>
            <w:szCs w:val="22"/>
          </w:rPr>
          <m:t>=0</m:t>
        </m:r>
      </m:oMath>
      <w:r>
        <w:rPr>
          <w:rFonts w:ascii="Century Schoolbook" w:hAnsi="Century Schoolbook" w:eastAsiaTheme="minorEastAsia"/>
          <w:sz w:val="22"/>
          <w:szCs w:val="22"/>
        </w:rPr>
        <w:t>. The benefit of including these estimates, for the purposes of this discussion, is to account for school-level characteristics that could otherwise confound the estimated association between Catholic school attendance and college graduation.</w:t>
      </w:r>
    </w:p>
    <w:p w14:paraId="6A2DAC35">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highlight w:val="yellow"/>
        </w:rPr>
        <w:t>As for the Female slope, we noticed that the introduced variables do not hold significance according to their p-values which suggest that we do not have enough evidence to suggest that the type of school, geographical location, and school size, have significant association with the log-odds and probability of Female students to graduate college. Thus, there is no evidence to prove that there is an effect introduced from the variables on the gender effect.</w:t>
      </w:r>
      <w:r>
        <w:rPr>
          <w:rFonts w:ascii="Century Schoolbook" w:hAnsi="Century Schoolbook" w:eastAsiaTheme="minorEastAsia"/>
          <w:sz w:val="22"/>
          <w:szCs w:val="22"/>
        </w:rPr>
        <w:t xml:space="preserve"> We see a similar circumstance for Black students. However, the coefficient of Black itself has become insignificant, which means there might be a chance that one or more of our newly introduced variables has a suppression effect. </w:t>
      </w:r>
      <w:r>
        <w:rPr>
          <w:rFonts w:ascii="Century Schoolbook" w:hAnsi="Century Schoolbook" w:eastAsiaTheme="minorEastAsia"/>
          <w:sz w:val="22"/>
          <w:szCs w:val="22"/>
          <w:highlight w:val="yellow"/>
        </w:rPr>
        <w:t>The same applies for the Hispanic variable and its predictors.</w:t>
      </w:r>
      <w:r>
        <w:rPr>
          <w:rFonts w:ascii="Century Schoolbook" w:hAnsi="Century Schoolbook" w:eastAsiaTheme="minorEastAsia"/>
          <w:sz w:val="22"/>
          <w:szCs w:val="22"/>
        </w:rPr>
        <w:t xml:space="preserve"> The Asian slope, which has a significant intercept equal to 0.771789, reads as the expected difference in log-odds of college graduation for an Asian student in public school, in rural area, and in an average school size. It is worth noting that the point estimate decreased </w:t>
      </w:r>
      <w:r>
        <w:rPr>
          <w:rFonts w:ascii="Century Schoolbook" w:hAnsi="Century Schoolbook" w:eastAsiaTheme="minorEastAsia"/>
          <w:i/>
          <w:iCs/>
          <w:sz w:val="22"/>
          <w:szCs w:val="22"/>
        </w:rPr>
        <w:t>slightly</w:t>
      </w:r>
      <w:r>
        <w:rPr>
          <w:rFonts w:ascii="Century Schoolbook" w:hAnsi="Century Schoolbook" w:eastAsiaTheme="minorEastAsia"/>
          <w:sz w:val="22"/>
          <w:szCs w:val="22"/>
        </w:rPr>
        <w:t xml:space="preserve"> from the unconditional model. Furthermore, the coefficient of Catholic here is negative, which means the estimated difference in log-odds between Catholic schools and public schools for Asian students is in negative.</w:t>
      </w:r>
    </w:p>
    <w:p w14:paraId="7BE40754">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highlight w:val="yellow"/>
        </w:rPr>
        <w:t>The base year SES intercept, BYSES, is interpreted as the estimated difference in log-odds of college graduation associated with each one-unit change in BYSES for a student in public school, rural area, and average school size. It is equal to 1.141764 log-odds and is statistically significant with a</w:t>
      </w:r>
      <w:r>
        <w:rPr>
          <w:rFonts w:ascii="Century Schoolbook" w:hAnsi="Century Schoolbook"/>
          <w:sz w:val="22"/>
          <w:szCs w:val="22"/>
          <w:highlight w:val="yellow"/>
        </w:rPr>
        <w:t xml:space="preserve"> </w:t>
      </w:r>
      <m:oMath>
        <m:sSub>
          <m:sSubPr>
            <m:ctrlPr>
              <w:rPr>
                <w:rFonts w:ascii="Cambria Math" w:hAnsi="Cambria Math"/>
                <w:sz w:val="22"/>
                <w:szCs w:val="22"/>
                <w:highlight w:val="yellow"/>
              </w:rPr>
            </m:ctrlPr>
          </m:sSubPr>
          <m:e>
            <m:r>
              <m:rPr/>
              <w:rPr>
                <w:rFonts w:ascii="Cambria Math" w:hAnsi="Cambria Math"/>
                <w:sz w:val="22"/>
                <w:szCs w:val="22"/>
                <w:highlight w:val="yellow"/>
              </w:rPr>
              <m:t>p</m:t>
            </m:r>
            <m:ctrlPr>
              <w:rPr>
                <w:rFonts w:ascii="Cambria Math" w:hAnsi="Cambria Math"/>
                <w:sz w:val="22"/>
                <w:szCs w:val="22"/>
                <w:highlight w:val="yellow"/>
              </w:rPr>
            </m:ctrlPr>
          </m:e>
          <m:sub>
            <m:r>
              <m:rPr/>
              <w:rPr>
                <w:rFonts w:ascii="Cambria Math" w:hAnsi="Cambria Math"/>
                <w:sz w:val="22"/>
                <w:szCs w:val="22"/>
                <w:highlight w:val="yellow"/>
              </w:rPr>
              <m:t>value</m:t>
            </m:r>
            <m:ctrlPr>
              <w:rPr>
                <w:rFonts w:ascii="Cambria Math" w:hAnsi="Cambria Math"/>
                <w:sz w:val="22"/>
                <w:szCs w:val="22"/>
                <w:highlight w:val="yellow"/>
              </w:rPr>
            </m:ctrlPr>
          </m:sub>
        </m:sSub>
      </m:oMath>
      <w:r>
        <w:rPr>
          <w:rFonts w:ascii="Century Schoolbook" w:hAnsi="Century Schoolbook"/>
          <w:sz w:val="22"/>
          <w:szCs w:val="22"/>
          <w:highlight w:val="yellow"/>
        </w:rPr>
        <w:t xml:space="preserve"> of &lt;0.0001 and an </w:t>
      </w:r>
      <m:oMath>
        <m:r>
          <m:rPr/>
          <w:rPr>
            <w:rFonts w:ascii="Cambria Math" w:hAnsi="Cambria Math"/>
            <w:sz w:val="22"/>
            <w:szCs w:val="22"/>
            <w:highlight w:val="yellow"/>
          </w:rPr>
          <m:t>α</m:t>
        </m:r>
        <m:r>
          <m:rPr>
            <m:sty m:val="p"/>
          </m:rPr>
          <w:rPr>
            <w:rFonts w:ascii="Cambria Math" w:hAnsi="Cambria Math"/>
            <w:sz w:val="22"/>
            <w:szCs w:val="22"/>
            <w:highlight w:val="yellow"/>
          </w:rPr>
          <m:t>=</m:t>
        </m:r>
        <m:r>
          <m:rPr/>
          <w:rPr>
            <w:rFonts w:ascii="Cambria Math" w:hAnsi="Cambria Math"/>
            <w:sz w:val="22"/>
            <w:szCs w:val="22"/>
            <w:highlight w:val="yellow"/>
          </w:rPr>
          <m:t>0.05</m:t>
        </m:r>
      </m:oMath>
      <w:r>
        <w:rPr>
          <w:rFonts w:ascii="Century Schoolbook" w:hAnsi="Century Schoolbook" w:eastAsiaTheme="minorEastAsia"/>
          <w:sz w:val="22"/>
          <w:szCs w:val="22"/>
          <w:highlight w:val="yellow"/>
        </w:rPr>
        <w:t>. But again, the newly introduced predictors are still insignificant, suggesting the absence of clear effect, while interacting with base year SES, on the college graduation.</w:t>
      </w:r>
    </w:p>
    <w:p w14:paraId="45FCD5D7">
      <w:pPr>
        <w:pStyle w:val="3"/>
        <w:ind w:left="-360" w:firstLine="360"/>
        <w:rPr>
          <w:rFonts w:ascii="Century Schoolbook" w:hAnsi="Century Schoolbook" w:eastAsiaTheme="minorEastAsia"/>
          <w:sz w:val="22"/>
          <w:szCs w:val="22"/>
          <w:highlight w:val="yellow"/>
        </w:rPr>
      </w:pPr>
      <w:r>
        <w:rPr>
          <w:rFonts w:ascii="Century Schoolbook" w:hAnsi="Century Schoolbook" w:eastAsiaTheme="minorEastAsia"/>
          <w:sz w:val="22"/>
          <w:szCs w:val="22"/>
        </w:rPr>
        <w:t>Thus, the main result suggests that Catholic school attendance is positively and significantly associated with college graduation</w:t>
      </w:r>
      <w:r>
        <w:rPr>
          <w:rFonts w:ascii="Century Schoolbook" w:hAnsi="Century Schoolbook" w:eastAsiaTheme="minorEastAsia"/>
          <w:sz w:val="22"/>
          <w:szCs w:val="22"/>
          <w:highlight w:val="yellow"/>
        </w:rPr>
        <w:t>.</w:t>
      </w:r>
      <w:r>
        <w:rPr>
          <w:rFonts w:ascii="Century Schoolbook" w:hAnsi="Century Schoolbook"/>
          <w:sz w:val="22"/>
          <w:szCs w:val="22"/>
          <w:highlight w:val="yellow"/>
        </w:rPr>
        <w:t xml:space="preserve"> </w:t>
      </w:r>
      <w:r>
        <w:rPr>
          <w:rFonts w:ascii="Century Schoolbook" w:hAnsi="Century Schoolbook" w:eastAsiaTheme="minorEastAsia"/>
          <w:sz w:val="22"/>
          <w:szCs w:val="22"/>
          <w:highlight w:val="yellow"/>
        </w:rPr>
        <w:t>The odds ratio for the Catholic variable for white students equals to 3.273284, which means that for the college student received prior education in catholic schools, there is a likelihood of occurrence of college graduation of 3.273284.</w:t>
      </w:r>
    </w:p>
    <w:p w14:paraId="7B2DC10D">
      <w:pPr>
        <w:pStyle w:val="3"/>
        <w:ind w:left="-360" w:firstLine="360"/>
        <w:rPr>
          <w:rFonts w:ascii="Century Schoolbook" w:hAnsi="Century Schoolbook" w:eastAsiaTheme="minorEastAsia"/>
          <w:sz w:val="22"/>
          <w:szCs w:val="22"/>
          <w:highlight w:val="yellow"/>
        </w:rPr>
      </w:pPr>
      <w:r>
        <w:drawing>
          <wp:inline distT="0" distB="0" distL="114300" distR="114300">
            <wp:extent cx="2439035" cy="4795520"/>
            <wp:effectExtent l="0" t="0" r="1206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2439035" cy="4795520"/>
                    </a:xfrm>
                    <a:prstGeom prst="rect">
                      <a:avLst/>
                    </a:prstGeom>
                    <a:noFill/>
                    <a:ln>
                      <a:noFill/>
                    </a:ln>
                  </pic:spPr>
                </pic:pic>
              </a:graphicData>
            </a:graphic>
          </wp:inline>
        </w:drawing>
      </w:r>
    </w:p>
    <w:p w14:paraId="1DEA97E5">
      <w:pPr>
        <w:pStyle w:val="50"/>
        <w:shd w:val="clear" w:color="auto" w:fill="FFFFFF" w:themeFill="background1"/>
        <w:rPr>
          <w:rFonts w:hint="default" w:ascii="Century Schoolbook" w:hAnsi="Century Schoolbook" w:eastAsiaTheme="minorEastAsia" w:cstheme="minorBidi"/>
          <w:sz w:val="22"/>
          <w:szCs w:val="22"/>
          <w:highlight w:val="green"/>
          <w:lang w:val="en-US" w:eastAsia="zh-CN" w:bidi="ar-SA"/>
        </w:rPr>
      </w:pPr>
      <w:r>
        <w:rPr>
          <w:rFonts w:hint="eastAsia" w:ascii="Century Schoolbook" w:hAnsi="Century Schoolbook" w:eastAsiaTheme="minorEastAsia" w:cstheme="minorBidi"/>
          <w:sz w:val="22"/>
          <w:szCs w:val="22"/>
          <w:highlight w:val="green"/>
          <w:lang w:val="en-US" w:eastAsia="zh-CN" w:bidi="ar-SA"/>
        </w:rPr>
        <w:t xml:space="preserve">Above is the result I got. It seems need to use the new model not the old model result. </w:t>
      </w:r>
      <w:r>
        <w:rPr>
          <w:rFonts w:ascii="Century Schoolbook" w:hAnsi="Century Schoolbook" w:eastAsiaTheme="minorEastAsia" w:cstheme="minorBidi"/>
          <w:sz w:val="22"/>
          <w:szCs w:val="22"/>
          <w:highlight w:val="green"/>
          <w:lang w:val="en-US" w:eastAsia="en-US" w:bidi="ar-SA"/>
        </w:rPr>
        <w:t>To investigate whether Catholic schools promote higher college graduation rates, I added CATHOLIC and the school-level control variables URBAN, PCTMIN_S, SCHSIZE, and FRELUNCH to the level-2 intercept model.</w:t>
      </w:r>
    </w:p>
    <w:p w14:paraId="349FB917">
      <w:pPr>
        <w:pStyle w:val="50"/>
        <w:shd w:val="clear" w:color="auto" w:fill="FFFFFF" w:themeFill="background1"/>
        <w:rPr>
          <w:rFonts w:ascii="Century Schoolbook" w:hAnsi="Century Schoolbook" w:eastAsiaTheme="minorEastAsia" w:cstheme="minorBidi"/>
          <w:sz w:val="22"/>
          <w:szCs w:val="22"/>
          <w:highlight w:val="green"/>
          <w:lang w:val="en-US" w:eastAsia="en-US" w:bidi="ar-SA"/>
        </w:rPr>
      </w:pPr>
      <w:r>
        <w:rPr>
          <w:rFonts w:ascii="Century Schoolbook" w:hAnsi="Century Schoolbook" w:eastAsiaTheme="minorEastAsia" w:cstheme="minorBidi"/>
          <w:sz w:val="22"/>
          <w:szCs w:val="22"/>
          <w:highlight w:val="green"/>
          <w:lang w:val="en-US" w:eastAsia="en-US" w:bidi="ar-SA"/>
        </w:rPr>
        <w:t>Using the population-average estimates, the coefficient for CATHOLIC is positive, β = 0.425. This suggests that students attending Catholic schools have higher estimated odds of college graduation than comparable students attending non-Catholic schools, holding the school-level controls constant. The corresponding odds ratio is 1.53, meaning that Catholic school students are estimated to have about 53% higher odds of college graduation.</w:t>
      </w:r>
    </w:p>
    <w:p w14:paraId="172E8E9D">
      <w:pPr>
        <w:pStyle w:val="50"/>
        <w:shd w:val="clear" w:color="auto" w:fill="FFFFFF" w:themeFill="background1"/>
        <w:rPr>
          <w:rFonts w:ascii="Century Schoolbook" w:hAnsi="Century Schoolbook" w:eastAsiaTheme="minorEastAsia" w:cstheme="minorBidi"/>
          <w:sz w:val="22"/>
          <w:szCs w:val="22"/>
          <w:highlight w:val="green"/>
          <w:lang w:val="en-US" w:eastAsia="en-US" w:bidi="ar-SA"/>
        </w:rPr>
      </w:pPr>
      <w:r>
        <w:rPr>
          <w:rFonts w:ascii="Century Schoolbook" w:hAnsi="Century Schoolbook" w:eastAsiaTheme="minorEastAsia" w:cstheme="minorBidi"/>
          <w:sz w:val="22"/>
          <w:szCs w:val="22"/>
          <w:highlight w:val="green"/>
          <w:lang w:val="en-US" w:eastAsia="en-US" w:bidi="ar-SA"/>
        </w:rPr>
        <w:t>However, this effect is not statistically significant, p = .216, and the confidence interval includes 1. Therefore, we cannot conclude that Catholic school attendance has a statistically significant effect on college graduation rates after controlling for the school-level variables.</w:t>
      </w:r>
    </w:p>
    <w:p w14:paraId="04DDBD39">
      <w:pPr>
        <w:pStyle w:val="50"/>
        <w:shd w:val="clear" w:color="auto" w:fill="FFFFFF" w:themeFill="background1"/>
        <w:rPr>
          <w:rFonts w:hint="eastAsia" w:ascii="Century Schoolbook" w:hAnsi="Century Schoolbook" w:eastAsiaTheme="minorEastAsia" w:cstheme="minorBidi"/>
          <w:sz w:val="22"/>
          <w:szCs w:val="22"/>
          <w:highlight w:val="green"/>
          <w:lang w:val="en-US" w:eastAsia="zh-CN" w:bidi="ar-SA"/>
        </w:rPr>
      </w:pPr>
      <w:r>
        <w:rPr>
          <w:rFonts w:ascii="Century Schoolbook" w:hAnsi="Century Schoolbook" w:eastAsiaTheme="minorEastAsia" w:cstheme="minorBidi"/>
          <w:sz w:val="22"/>
          <w:szCs w:val="22"/>
          <w:highlight w:val="green"/>
          <w:lang w:val="en-US" w:eastAsia="en-US" w:bidi="ar-SA"/>
        </w:rPr>
        <w:t>Among the controls, URBAN is positive and statistically significant, indicating that students in urban schools have higher odds of college graduation than students in non-urban schools. PCTMIN_S, SCHSIZE, and FRELUNCH are not statistically significant.</w:t>
      </w:r>
    </w:p>
    <w:p w14:paraId="4DAFBFE8">
      <w:pPr>
        <w:pStyle w:val="50"/>
        <w:shd w:val="clear" w:color="auto" w:fill="FFFFFF" w:themeFill="background1"/>
        <w:rPr>
          <w:rFonts w:hint="default" w:ascii="Century Schoolbook" w:hAnsi="Century Schoolbook" w:eastAsiaTheme="minorEastAsia" w:cstheme="minorBidi"/>
          <w:sz w:val="22"/>
          <w:szCs w:val="22"/>
          <w:lang w:val="en-US" w:eastAsia="zh-CN" w:bidi="ar-SA"/>
        </w:rPr>
      </w:pPr>
    </w:p>
    <w:p w14:paraId="4621B995">
      <w:pPr>
        <w:pStyle w:val="3"/>
        <w:numPr>
          <w:ilvl w:val="0"/>
          <w:numId w:val="1"/>
        </w:numPr>
        <w:rPr>
          <w:rFonts w:ascii="Century Schoolbook" w:hAnsi="Century Schoolbook"/>
          <w:b/>
          <w:bCs/>
          <w:sz w:val="22"/>
          <w:szCs w:val="22"/>
        </w:rPr>
      </w:pPr>
      <w:r>
        <w:rPr>
          <w:rFonts w:ascii="Century Schoolbook" w:hAnsi="Century Schoolbook"/>
          <w:b/>
          <w:bCs/>
          <w:sz w:val="22"/>
          <w:szCs w:val="22"/>
        </w:rPr>
        <w:t>Give a summary about what you’ve learned about college graduation rates in the sample in substantive terms. Include an explanation of the “effect” of attending a Catholic high school, referencing an appropriate odds ratio and a change in probability associated with attending a Catholic school. Hint: for the latter, you should also explain who the change in probability is estimated for.</w:t>
      </w:r>
    </w:p>
    <w:p w14:paraId="16A1540A">
      <w:pPr>
        <w:pStyle w:val="50"/>
        <w:shd w:val="clear" w:color="auto" w:fill="FFFFFF" w:themeFill="background1"/>
        <w:ind w:left="-360" w:firstLine="360"/>
        <w:rPr>
          <w:rFonts w:ascii="Century Schoolbook" w:hAnsi="Century Schoolbook"/>
          <w:sz w:val="22"/>
          <w:szCs w:val="22"/>
        </w:rPr>
      </w:pPr>
      <w:r>
        <w:rPr>
          <w:rFonts w:ascii="Century Schoolbook" w:hAnsi="Century Schoolbook"/>
          <w:sz w:val="22"/>
          <w:szCs w:val="22"/>
        </w:rPr>
        <w:t xml:space="preserve">The models show that the probability of graduating from college differs between individual students and schools. At the student level, being female, being Asian, and having a higher base-year SES are associated with higher odds of earning a BA degree. At the school level, the finding (as described in Question 4) is that students who attended Catholic high schools have higher predicted odds of college graduation, even </w:t>
      </w:r>
      <w:r>
        <w:rPr>
          <w:rFonts w:ascii="Century Schoolbook" w:hAnsi="Century Schoolbook"/>
          <w:i/>
          <w:iCs/>
          <w:sz w:val="22"/>
          <w:szCs w:val="22"/>
        </w:rPr>
        <w:t>after</w:t>
      </w:r>
      <w:r>
        <w:rPr>
          <w:rFonts w:ascii="Century Schoolbook" w:hAnsi="Century Schoolbook"/>
          <w:sz w:val="22"/>
          <w:szCs w:val="22"/>
        </w:rPr>
        <w:t xml:space="preserve"> accounting for the school controls included in the model.</w:t>
      </w:r>
    </w:p>
    <w:p w14:paraId="3EC08B28">
      <w:pPr>
        <w:pStyle w:val="50"/>
        <w:shd w:val="clear" w:color="auto" w:fill="FFFFFF" w:themeFill="background1"/>
        <w:ind w:left="-360" w:firstLine="360"/>
        <w:rPr>
          <w:rFonts w:ascii="Century Schoolbook" w:hAnsi="Century Schoolbook"/>
          <w:sz w:val="22"/>
          <w:szCs w:val="22"/>
        </w:rPr>
      </w:pPr>
      <w:r>
        <w:rPr>
          <w:rFonts w:ascii="Century Schoolbook" w:hAnsi="Century Schoolbook"/>
          <w:sz w:val="22"/>
          <w:szCs w:val="22"/>
        </w:rPr>
        <w:t xml:space="preserve">To test this empirically, we will examine the </w:t>
      </w:r>
      <m:oMath>
        <m:sSub>
          <m:sSubPr>
            <m:ctrlPr>
              <w:rPr>
                <w:rFonts w:ascii="Cambria Math" w:hAnsi="Cambria Math"/>
                <w:sz w:val="22"/>
                <w:szCs w:val="22"/>
              </w:rPr>
            </m:ctrlPr>
          </m:sSubPr>
          <m:e>
            <m:r>
              <m:rPr/>
              <w:rPr>
                <w:rFonts w:ascii="Cambria Math" w:hAnsi="Cambria Math"/>
                <w:sz w:val="22"/>
                <w:szCs w:val="22"/>
              </w:rPr>
              <m:t>β</m:t>
            </m:r>
            <m:ctrlPr>
              <w:rPr>
                <w:rFonts w:ascii="Cambria Math" w:hAnsi="Cambria Math"/>
                <w:sz w:val="22"/>
                <w:szCs w:val="22"/>
              </w:rPr>
            </m:ctrlPr>
          </m:e>
          <m:sub>
            <m:r>
              <m:rPr/>
              <w:rPr>
                <w:rFonts w:ascii="Cambria Math" w:hAnsi="Cambria Math"/>
                <w:sz w:val="22"/>
                <w:szCs w:val="22"/>
              </w:rPr>
              <m:t>01</m:t>
            </m:r>
            <m:ctrlPr>
              <w:rPr>
                <w:rFonts w:ascii="Cambria Math" w:hAnsi="Cambria Math"/>
                <w:sz w:val="22"/>
                <w:szCs w:val="22"/>
              </w:rPr>
            </m:ctrlPr>
          </m:sub>
        </m:sSub>
      </m:oMath>
      <w:r>
        <w:rPr>
          <w:rFonts w:ascii="Century Schoolbook" w:hAnsi="Century Schoolbook"/>
          <w:sz w:val="22"/>
          <w:szCs w:val="22"/>
        </w:rPr>
        <w:t xml:space="preserve"> estimate of 1.185794. Since this is a logistic model, the coefficient is in log-odds. To convert it into an odds ratio:</w:t>
      </w:r>
    </w:p>
    <w:p w14:paraId="5CD3CDEC">
      <w:pPr>
        <w:pStyle w:val="3"/>
        <w:jc w:val="center"/>
        <w:rPr>
          <w:rFonts w:ascii="Century Schoolbook" w:hAnsi="Century Schoolbook" w:eastAsiaTheme="minorEastAsia"/>
          <w:sz w:val="22"/>
          <w:szCs w:val="22"/>
        </w:rPr>
      </w:pPr>
      <w:r>
        <w:rPr>
          <w:rFonts w:ascii="Century Schoolbook" w:hAnsi="Century Schoolbook"/>
          <w:sz w:val="22"/>
          <w:szCs w:val="22"/>
        </w:rPr>
        <w:t>e</w:t>
      </w:r>
      <w:r>
        <w:rPr>
          <w:rFonts w:ascii="Century Schoolbook" w:hAnsi="Century Schoolbook"/>
          <w:sz w:val="22"/>
          <w:szCs w:val="22"/>
          <w:vertAlign w:val="superscript"/>
        </w:rPr>
        <w:t>1.185794</w:t>
      </w:r>
      <w:r>
        <w:rPr>
          <w:rFonts w:ascii="Century Schoolbook" w:hAnsi="Century Schoolbook"/>
          <w:sz w:val="22"/>
          <w:szCs w:val="22"/>
        </w:rPr>
        <w:t xml:space="preserve">= </w:t>
      </w:r>
      <m:oMath>
        <m:r>
          <m:rPr/>
          <w:rPr>
            <w:rFonts w:ascii="Cambria Math" w:hAnsi="Cambria Math"/>
            <w:sz w:val="22"/>
            <w:szCs w:val="22"/>
          </w:rPr>
          <m:t>3.273284</m:t>
        </m:r>
      </m:oMath>
    </w:p>
    <w:p w14:paraId="1FEEECAF">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rPr>
        <w:t>This means that, holding the other variables constant, attending a Catholic high school is associated with a ~3.27 times higher odds of college graduation compared to attending a non-Catholic high school.</w:t>
      </w:r>
    </w:p>
    <w:p w14:paraId="2234C677">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rPr>
        <w:t xml:space="preserve">To translate the results back into predicted probabilities, we will compare a white male student attending a non-Catholic school to a white male student attending a Catholic school. </w:t>
      </w:r>
    </w:p>
    <w:p w14:paraId="5022DAE4">
      <w:pPr>
        <w:pStyle w:val="3"/>
        <w:ind w:left="-360" w:firstLine="360"/>
        <w:rPr>
          <w:rFonts w:ascii="Century Schoolbook" w:hAnsi="Century Schoolbook" w:eastAsiaTheme="minorEastAsia"/>
          <w:sz w:val="22"/>
          <w:szCs w:val="22"/>
        </w:rPr>
      </w:pPr>
      <w:r>
        <w:rPr>
          <w:rFonts w:ascii="Century Schoolbook" w:hAnsi="Century Schoolbook" w:eastAsiaTheme="minorEastAsia"/>
          <w:sz w:val="22"/>
          <w:szCs w:val="22"/>
        </w:rPr>
        <w:t>For the white male student attending a non-Catholic school, the predicted log-odds of graduation in a non-Catholic school are:</w:t>
      </w:r>
    </w:p>
    <w:p w14:paraId="35B116A0">
      <w:pPr>
        <w:pStyle w:val="3"/>
        <w:rPr>
          <w:rFonts w:ascii="Century Schoolbook" w:hAnsi="Century Schoolbook" w:eastAsiaTheme="minorEastAsia"/>
          <w:sz w:val="22"/>
          <w:szCs w:val="22"/>
        </w:rPr>
      </w:pPr>
      <m:oMathPara>
        <m:oMath>
          <m:r>
            <m:rPr/>
            <w:rPr>
              <w:rFonts w:ascii="Cambria Math" w:hAnsi="Cambria Math"/>
              <w:sz w:val="22"/>
              <w:szCs w:val="22"/>
            </w:rPr>
            <m:t>η=</m:t>
          </m:r>
          <m:r>
            <m:rPr>
              <m:sty m:val="p"/>
            </m:rPr>
            <w:rPr>
              <w:rFonts w:ascii="Cambria Math" w:hAnsi="Cambria Math"/>
              <w:sz w:val="22"/>
              <w:szCs w:val="22"/>
            </w:rPr>
            <m:t>−0.831355</m:t>
          </m:r>
        </m:oMath>
      </m:oMathPara>
    </w:p>
    <w:p w14:paraId="29A9DC4B">
      <w:pPr>
        <w:pStyle w:val="3"/>
        <w:jc w:val="center"/>
        <w:rPr>
          <w:rFonts w:ascii="Century Schoolbook" w:hAnsi="Century Schoolbook" w:eastAsiaTheme="minorEastAsia"/>
          <w:sz w:val="22"/>
          <w:szCs w:val="22"/>
        </w:rPr>
      </w:pPr>
      <m:oMath>
        <m:r>
          <m:rPr/>
          <w:rPr>
            <w:rFonts w:ascii="Cambria Math" w:hAnsi="Cambria Math"/>
            <w:sz w:val="22"/>
            <w:szCs w:val="22"/>
          </w:rPr>
          <m:t>Φ</m:t>
        </m:r>
      </m:oMath>
      <w:r>
        <w:rPr>
          <w:rFonts w:ascii="Century Schoolbook" w:hAnsi="Century Schoolbook"/>
          <w:sz w:val="22"/>
          <w:szCs w:val="22"/>
        </w:rPr>
        <w:t xml:space="preserve"> = </w:t>
      </w:r>
      <m:oMath>
        <m:f>
          <m:fPr>
            <m:ctrlPr>
              <w:rPr>
                <w:rFonts w:ascii="Cambria Math" w:hAnsi="Cambria Math"/>
                <w:i/>
                <w:sz w:val="22"/>
                <w:szCs w:val="22"/>
              </w:rPr>
            </m:ctrlPr>
          </m:fPr>
          <m:num>
            <m:r>
              <m:rPr>
                <m:sty m:val="p"/>
              </m:rPr>
              <w:rPr>
                <w:rFonts w:ascii="Cambria Math" w:hAnsi="Cambria Math"/>
                <w:sz w:val="22"/>
                <w:szCs w:val="22"/>
              </w:rPr>
              <m:t>1</m:t>
            </m:r>
            <m:ctrlPr>
              <w:rPr>
                <w:rFonts w:ascii="Cambria Math" w:hAnsi="Cambria Math"/>
                <w:i/>
                <w:sz w:val="22"/>
                <w:szCs w:val="22"/>
              </w:rPr>
            </m:ctrlPr>
          </m:num>
          <m:den>
            <m:r>
              <m:rPr/>
              <w:rPr>
                <w:rFonts w:ascii="Cambria Math" w:hAnsi="Cambria Math"/>
                <w:sz w:val="22"/>
                <w:szCs w:val="22"/>
              </w:rPr>
              <m:t>1+</m:t>
            </m:r>
            <m:sSup>
              <m:sSupPr>
                <m:ctrlPr>
                  <w:rPr>
                    <w:rFonts w:ascii="Cambria Math" w:hAnsi="Cambria Math"/>
                    <w:sz w:val="22"/>
                    <w:szCs w:val="22"/>
                  </w:rPr>
                </m:ctrlPr>
              </m:sSupPr>
              <m:e>
                <m:r>
                  <m:rPr/>
                  <w:rPr>
                    <w:rFonts w:ascii="Cambria Math" w:hAnsi="Cambria Math"/>
                    <w:sz w:val="22"/>
                    <w:szCs w:val="22"/>
                  </w:rPr>
                  <m:t>e</m:t>
                </m:r>
                <m:ctrlPr>
                  <w:rPr>
                    <w:rFonts w:ascii="Cambria Math" w:hAnsi="Cambria Math"/>
                    <w:sz w:val="22"/>
                    <w:szCs w:val="22"/>
                  </w:rPr>
                </m:ctrlPr>
              </m:e>
              <m:sup>
                <m:r>
                  <m:rPr/>
                  <w:rPr>
                    <w:rFonts w:ascii="Cambria Math" w:hAnsi="Cambria Math"/>
                    <w:sz w:val="22"/>
                    <w:szCs w:val="22"/>
                  </w:rPr>
                  <m:t>−(</m:t>
                </m:r>
                <m:r>
                  <m:rPr>
                    <m:sty m:val="p"/>
                  </m:rPr>
                  <w:rPr>
                    <w:rFonts w:ascii="Cambria Math" w:hAnsi="Cambria Math"/>
                    <w:sz w:val="22"/>
                    <w:szCs w:val="22"/>
                    <w:vertAlign w:val="superscript"/>
                  </w:rPr>
                  <m:t>−0.831355)</m:t>
                </m:r>
                <m:ctrlPr>
                  <w:rPr>
                    <w:rFonts w:ascii="Cambria Math" w:hAnsi="Cambria Math"/>
                    <w:sz w:val="22"/>
                    <w:szCs w:val="22"/>
                  </w:rPr>
                </m:ctrlPr>
              </m:sup>
            </m:sSup>
            <m:ctrlPr>
              <w:rPr>
                <w:rFonts w:ascii="Cambria Math" w:hAnsi="Cambria Math"/>
                <w:i/>
                <w:sz w:val="22"/>
                <w:szCs w:val="22"/>
              </w:rPr>
            </m:ctrlPr>
          </m:den>
        </m:f>
      </m:oMath>
    </w:p>
    <w:p w14:paraId="3D35A289">
      <w:pPr>
        <w:pStyle w:val="3"/>
        <w:jc w:val="center"/>
        <w:rPr>
          <w:rFonts w:ascii="Century Schoolbook" w:hAnsi="Century Schoolbook" w:eastAsiaTheme="minorEastAsia"/>
          <w:sz w:val="22"/>
          <w:szCs w:val="22"/>
        </w:rPr>
      </w:pPr>
      <m:oMath>
        <m:r>
          <m:rPr/>
          <w:rPr>
            <w:rFonts w:ascii="Cambria Math" w:hAnsi="Cambria Math"/>
            <w:sz w:val="22"/>
            <w:szCs w:val="22"/>
          </w:rPr>
          <m:t>Φ</m:t>
        </m:r>
      </m:oMath>
      <w:r>
        <w:rPr>
          <w:rFonts w:ascii="Century Schoolbook" w:hAnsi="Century Schoolbook"/>
          <w:sz w:val="22"/>
          <w:szCs w:val="22"/>
        </w:rPr>
        <w:t xml:space="preserve"> = </w:t>
      </w:r>
      <m:oMath>
        <m:r>
          <m:rPr/>
          <w:rPr>
            <w:rFonts w:ascii="Cambria Math" w:hAnsi="Cambria Math"/>
            <w:sz w:val="22"/>
            <w:szCs w:val="22"/>
          </w:rPr>
          <m:t>0.303359</m:t>
        </m:r>
      </m:oMath>
    </w:p>
    <w:p w14:paraId="30098C20">
      <w:pPr>
        <w:pStyle w:val="3"/>
        <w:rPr>
          <w:rFonts w:ascii="Century Schoolbook" w:hAnsi="Century Schoolbook" w:eastAsiaTheme="minorEastAsia"/>
          <w:sz w:val="22"/>
          <w:szCs w:val="22"/>
        </w:rPr>
      </w:pPr>
      <w:r>
        <w:rPr>
          <w:rFonts w:ascii="Century Schoolbook" w:hAnsi="Century Schoolbook" w:eastAsiaTheme="minorEastAsia"/>
          <w:sz w:val="22"/>
          <w:szCs w:val="22"/>
        </w:rPr>
        <w:t>So, for a white male student attending a non-Catholic school, the predicted probability of college graduation in a non-Catholic school is about 30.3%.</w:t>
      </w:r>
    </w:p>
    <w:p w14:paraId="47A9BAD9">
      <w:pPr>
        <w:pStyle w:val="3"/>
        <w:rPr>
          <w:rFonts w:ascii="Century Schoolbook" w:hAnsi="Century Schoolbook" w:eastAsiaTheme="minorEastAsia"/>
          <w:sz w:val="22"/>
          <w:szCs w:val="22"/>
        </w:rPr>
      </w:pPr>
      <w:r>
        <w:rPr>
          <w:rFonts w:ascii="Century Schoolbook" w:hAnsi="Century Schoolbook" w:eastAsiaTheme="minorEastAsia"/>
          <w:sz w:val="22"/>
          <w:szCs w:val="22"/>
        </w:rPr>
        <w:t xml:space="preserve">For the white male student attending a </w:t>
      </w:r>
      <w:r>
        <w:rPr>
          <w:rFonts w:ascii="Century Schoolbook" w:hAnsi="Century Schoolbook" w:eastAsiaTheme="minorEastAsia"/>
          <w:i/>
          <w:iCs/>
          <w:sz w:val="22"/>
          <w:szCs w:val="22"/>
        </w:rPr>
        <w:t>Catholic school</w:t>
      </w:r>
      <w:r>
        <w:rPr>
          <w:rFonts w:ascii="Century Schoolbook" w:hAnsi="Century Schoolbook" w:eastAsiaTheme="minorEastAsia"/>
          <w:sz w:val="22"/>
          <w:szCs w:val="22"/>
        </w:rPr>
        <w:t>, the predicted log-odds of graduation in a non-Catholic school are:</w:t>
      </w:r>
    </w:p>
    <w:p w14:paraId="3A51F080">
      <w:pPr>
        <w:pStyle w:val="3"/>
        <w:rPr>
          <w:rFonts w:ascii="Century Schoolbook" w:hAnsi="Century Schoolbook" w:eastAsiaTheme="minorEastAsia"/>
          <w:sz w:val="22"/>
          <w:szCs w:val="22"/>
        </w:rPr>
      </w:pPr>
      <m:oMathPara>
        <m:oMath>
          <m:r>
            <m:rPr/>
            <w:rPr>
              <w:rFonts w:ascii="Cambria Math" w:hAnsi="Cambria Math"/>
              <w:sz w:val="22"/>
              <w:szCs w:val="22"/>
            </w:rPr>
            <m:t>η=</m:t>
          </m:r>
          <m:r>
            <m:rPr>
              <m:sty m:val="p"/>
            </m:rPr>
            <w:rPr>
              <w:rFonts w:ascii="Cambria Math" w:hAnsi="Cambria Math"/>
              <w:sz w:val="22"/>
              <w:szCs w:val="22"/>
            </w:rPr>
            <m:t>−0.831355+1.185794=0.354439</m:t>
          </m:r>
        </m:oMath>
      </m:oMathPara>
    </w:p>
    <w:p w14:paraId="74841F29">
      <w:pPr>
        <w:pStyle w:val="3"/>
        <w:jc w:val="center"/>
        <w:rPr>
          <w:rFonts w:ascii="Century Schoolbook" w:hAnsi="Century Schoolbook" w:eastAsiaTheme="minorEastAsia"/>
          <w:sz w:val="22"/>
          <w:szCs w:val="22"/>
        </w:rPr>
      </w:pPr>
      <m:oMath>
        <m:r>
          <m:rPr/>
          <w:rPr>
            <w:rFonts w:ascii="Cambria Math" w:hAnsi="Cambria Math"/>
            <w:sz w:val="22"/>
            <w:szCs w:val="22"/>
          </w:rPr>
          <m:t>Φ</m:t>
        </m:r>
      </m:oMath>
      <w:r>
        <w:rPr>
          <w:rFonts w:ascii="Century Schoolbook" w:hAnsi="Century Schoolbook"/>
          <w:sz w:val="22"/>
          <w:szCs w:val="22"/>
        </w:rPr>
        <w:t xml:space="preserve"> = </w:t>
      </w:r>
      <m:oMath>
        <m:f>
          <m:fPr>
            <m:ctrlPr>
              <w:rPr>
                <w:rFonts w:ascii="Cambria Math" w:hAnsi="Cambria Math"/>
                <w:i/>
                <w:sz w:val="22"/>
                <w:szCs w:val="22"/>
              </w:rPr>
            </m:ctrlPr>
          </m:fPr>
          <m:num>
            <m:r>
              <m:rPr>
                <m:sty m:val="p"/>
              </m:rPr>
              <w:rPr>
                <w:rFonts w:ascii="Cambria Math" w:hAnsi="Cambria Math"/>
                <w:sz w:val="22"/>
                <w:szCs w:val="22"/>
              </w:rPr>
              <m:t>1</m:t>
            </m:r>
            <m:ctrlPr>
              <w:rPr>
                <w:rFonts w:ascii="Cambria Math" w:hAnsi="Cambria Math"/>
                <w:i/>
                <w:sz w:val="22"/>
                <w:szCs w:val="22"/>
              </w:rPr>
            </m:ctrlPr>
          </m:num>
          <m:den>
            <m:r>
              <m:rPr/>
              <w:rPr>
                <w:rFonts w:ascii="Cambria Math" w:hAnsi="Cambria Math"/>
                <w:sz w:val="22"/>
                <w:szCs w:val="22"/>
              </w:rPr>
              <m:t>1+</m:t>
            </m:r>
            <m:sSup>
              <m:sSupPr>
                <m:ctrlPr>
                  <w:rPr>
                    <w:rFonts w:ascii="Cambria Math" w:hAnsi="Cambria Math"/>
                    <w:sz w:val="22"/>
                    <w:szCs w:val="22"/>
                  </w:rPr>
                </m:ctrlPr>
              </m:sSupPr>
              <m:e>
                <m:r>
                  <m:rPr/>
                  <w:rPr>
                    <w:rFonts w:ascii="Cambria Math" w:hAnsi="Cambria Math"/>
                    <w:sz w:val="22"/>
                    <w:szCs w:val="22"/>
                  </w:rPr>
                  <m:t>e</m:t>
                </m:r>
                <m:ctrlPr>
                  <w:rPr>
                    <w:rFonts w:ascii="Cambria Math" w:hAnsi="Cambria Math"/>
                    <w:sz w:val="22"/>
                    <w:szCs w:val="22"/>
                  </w:rPr>
                </m:ctrlPr>
              </m:e>
              <m:sup>
                <m:r>
                  <m:rPr/>
                  <w:rPr>
                    <w:rFonts w:ascii="Cambria Math" w:hAnsi="Cambria Math"/>
                    <w:sz w:val="22"/>
                    <w:szCs w:val="22"/>
                  </w:rPr>
                  <m:t>−(0.354439</m:t>
                </m:r>
                <m:r>
                  <m:rPr>
                    <m:sty m:val="p"/>
                  </m:rPr>
                  <w:rPr>
                    <w:rFonts w:ascii="Cambria Math" w:hAnsi="Cambria Math"/>
                    <w:sz w:val="22"/>
                    <w:szCs w:val="22"/>
                    <w:vertAlign w:val="superscript"/>
                  </w:rPr>
                  <m:t>)</m:t>
                </m:r>
                <m:ctrlPr>
                  <w:rPr>
                    <w:rFonts w:ascii="Cambria Math" w:hAnsi="Cambria Math"/>
                    <w:sz w:val="22"/>
                    <w:szCs w:val="22"/>
                  </w:rPr>
                </m:ctrlPr>
              </m:sup>
            </m:sSup>
            <m:ctrlPr>
              <w:rPr>
                <w:rFonts w:ascii="Cambria Math" w:hAnsi="Cambria Math"/>
                <w:i/>
                <w:sz w:val="22"/>
                <w:szCs w:val="22"/>
              </w:rPr>
            </m:ctrlPr>
          </m:den>
        </m:f>
      </m:oMath>
    </w:p>
    <w:p w14:paraId="0BAC5EBC">
      <w:pPr>
        <w:pStyle w:val="3"/>
        <w:jc w:val="center"/>
        <w:rPr>
          <w:rFonts w:ascii="Century Schoolbook" w:hAnsi="Century Schoolbook" w:eastAsiaTheme="minorEastAsia"/>
          <w:sz w:val="22"/>
          <w:szCs w:val="22"/>
        </w:rPr>
      </w:pPr>
      <m:oMath>
        <m:r>
          <m:rPr/>
          <w:rPr>
            <w:rFonts w:ascii="Cambria Math" w:hAnsi="Cambria Math"/>
            <w:sz w:val="22"/>
            <w:szCs w:val="22"/>
          </w:rPr>
          <m:t>Φ</m:t>
        </m:r>
      </m:oMath>
      <w:r>
        <w:rPr>
          <w:rFonts w:ascii="Century Schoolbook" w:hAnsi="Century Schoolbook"/>
          <w:sz w:val="22"/>
          <w:szCs w:val="22"/>
        </w:rPr>
        <w:t xml:space="preserve"> = </w:t>
      </w:r>
      <m:oMath>
        <m:r>
          <m:rPr/>
          <w:rPr>
            <w:rFonts w:ascii="Cambria Math" w:hAnsi="Cambria Math"/>
            <w:sz w:val="22"/>
            <w:szCs w:val="22"/>
          </w:rPr>
          <m:t>0.587694</m:t>
        </m:r>
      </m:oMath>
    </w:p>
    <w:p w14:paraId="3C2C8F61">
      <w:pPr>
        <w:pStyle w:val="3"/>
        <w:rPr>
          <w:rFonts w:ascii="Century Schoolbook" w:hAnsi="Century Schoolbook" w:eastAsiaTheme="minorEastAsia"/>
          <w:sz w:val="22"/>
          <w:szCs w:val="22"/>
        </w:rPr>
      </w:pPr>
      <w:r>
        <w:rPr>
          <w:rFonts w:ascii="Century Schoolbook" w:hAnsi="Century Schoolbook" w:eastAsiaTheme="minorEastAsia"/>
          <w:sz w:val="22"/>
          <w:szCs w:val="22"/>
        </w:rPr>
        <w:t>So, for a white male student attending a Catholic school, the predicted probability of college graduation in a non-Catholic school is ~</w:t>
      </w:r>
      <w:r>
        <w:rPr>
          <w:rFonts w:ascii="Century Schoolbook" w:hAnsi="Century Schoolbook"/>
          <w:sz w:val="22"/>
          <w:szCs w:val="22"/>
        </w:rPr>
        <w:t>58.7</w:t>
      </w:r>
      <w:r>
        <w:rPr>
          <w:rFonts w:ascii="Century Schoolbook" w:hAnsi="Century Schoolbook" w:eastAsiaTheme="minorEastAsia"/>
          <w:sz w:val="22"/>
          <w:szCs w:val="22"/>
        </w:rPr>
        <w:t>%.</w:t>
      </w:r>
    </w:p>
    <w:p w14:paraId="49F9BE5E">
      <w:pPr>
        <w:pStyle w:val="3"/>
        <w:rPr>
          <w:rFonts w:ascii="Century Schoolbook" w:hAnsi="Century Schoolbook" w:eastAsiaTheme="minorEastAsia"/>
          <w:sz w:val="22"/>
          <w:szCs w:val="22"/>
        </w:rPr>
      </w:pPr>
    </w:p>
    <w:p w14:paraId="2EC89A71">
      <w:pPr>
        <w:pStyle w:val="3"/>
        <w:rPr>
          <w:rFonts w:ascii="Century Schoolbook" w:hAnsi="Century Schoolbook" w:eastAsiaTheme="minorEastAsia"/>
          <w:sz w:val="22"/>
          <w:szCs w:val="22"/>
        </w:rPr>
      </w:pPr>
      <w:r>
        <w:rPr>
          <w:rFonts w:ascii="Century Schoolbook" w:hAnsi="Century Schoolbook" w:eastAsiaTheme="minorEastAsia"/>
          <w:sz w:val="22"/>
          <w:szCs w:val="22"/>
        </w:rPr>
        <w:t>The change in predicted probability associated with attending a Catholic school is therefore:</w:t>
      </w:r>
    </w:p>
    <w:p w14:paraId="3230CD08">
      <w:pPr>
        <w:pStyle w:val="3"/>
        <w:rPr>
          <w:rFonts w:ascii="Century Schoolbook" w:hAnsi="Century Schoolbook" w:eastAsiaTheme="minorEastAsia"/>
          <w:sz w:val="22"/>
          <w:szCs w:val="22"/>
        </w:rPr>
      </w:pPr>
      <m:oMathPara>
        <m:oMath>
          <m:r>
            <m:rPr/>
            <w:rPr>
              <w:rFonts w:ascii="Cambria Math" w:hAnsi="Cambria Math"/>
              <w:sz w:val="22"/>
              <w:szCs w:val="22"/>
            </w:rPr>
            <m:t>0.587694−0.303359=0.284335</m:t>
          </m:r>
        </m:oMath>
      </m:oMathPara>
    </w:p>
    <w:p w14:paraId="197CCC3B">
      <w:pPr>
        <w:pStyle w:val="3"/>
        <w:rPr>
          <w:rFonts w:ascii="Century Schoolbook" w:hAnsi="Century Schoolbook" w:eastAsiaTheme="minorEastAsia"/>
          <w:sz w:val="22"/>
          <w:szCs w:val="22"/>
        </w:rPr>
      </w:pPr>
      <w:r>
        <w:rPr>
          <w:rFonts w:ascii="Century Schoolbook" w:hAnsi="Century Schoolbook" w:eastAsiaTheme="minorEastAsia"/>
          <w:sz w:val="22"/>
          <w:szCs w:val="22"/>
        </w:rPr>
        <w:t xml:space="preserve">Or 28.4335% or 28.4% if I round. </w:t>
      </w:r>
    </w:p>
    <w:p w14:paraId="000853F2">
      <w:pPr>
        <w:pStyle w:val="3"/>
        <w:rPr>
          <w:rFonts w:ascii="Century Schoolbook" w:hAnsi="Century Schoolbook" w:eastAsiaTheme="minorEastAsia"/>
          <w:sz w:val="22"/>
          <w:szCs w:val="22"/>
        </w:rPr>
      </w:pPr>
      <w:r>
        <w:rPr>
          <w:rFonts w:ascii="Century Schoolbook" w:hAnsi="Century Schoolbook" w:eastAsiaTheme="minorEastAsia"/>
          <w:sz w:val="22"/>
          <w:szCs w:val="22"/>
        </w:rPr>
        <w:t>In substantive terms, for a white male student, attending a Catholic high school is associated with a ~28.4 percentage-point increase in the predicted probability of eventually obtaining a BA. This suggests a positive association between Catholic high school attendance and college graduation in the NELS sample.</w:t>
      </w:r>
    </w:p>
    <w:p w14:paraId="1906F0D6">
      <w:pPr>
        <w:pStyle w:val="3"/>
        <w:rPr>
          <w:rFonts w:ascii="Cambria Math" w:hAnsi="Cambria Math" w:eastAsiaTheme="minorEastAsia"/>
          <w:sz w:val="22"/>
          <w:szCs w:val="22"/>
        </w:rPr>
      </w:pPr>
    </w:p>
    <w:p w14:paraId="2716377A">
      <w:pPr>
        <w:pStyle w:val="3"/>
        <w:rPr>
          <w:rFonts w:ascii="Century Schoolbook" w:hAnsi="Century Schoolbook" w:eastAsiaTheme="minorEastAsia"/>
          <w:sz w:val="22"/>
          <w:szCs w:val="22"/>
          <w:highlight w:val="green"/>
        </w:rPr>
      </w:pPr>
      <w:r>
        <w:rPr>
          <w:rFonts w:hint="eastAsia" w:ascii="Century Schoolbook" w:hAnsi="Century Schoolbook" w:eastAsiaTheme="minorEastAsia"/>
          <w:sz w:val="22"/>
          <w:szCs w:val="22"/>
          <w:highlight w:val="green"/>
          <w:lang w:val="en-US" w:eastAsia="zh-CN"/>
        </w:rPr>
        <w:t xml:space="preserve">Accoding to the above model result,  </w:t>
      </w:r>
      <w:r>
        <w:rPr>
          <w:rFonts w:ascii="Century Schoolbook" w:hAnsi="Century Schoolbook" w:eastAsiaTheme="minorEastAsia"/>
          <w:sz w:val="22"/>
          <w:szCs w:val="22"/>
          <w:highlight w:val="green"/>
        </w:rPr>
        <w:t>college graduation is strongly associated with student characteristics. Female students, Asian students, and students with higher BYSES have higher odds of earning a BA degree.</w:t>
      </w:r>
    </w:p>
    <w:p w14:paraId="4FC12CAA">
      <w:pPr>
        <w:pStyle w:val="3"/>
        <w:rPr>
          <w:rFonts w:hint="eastAsia" w:ascii="Century Schoolbook" w:hAnsi="Century Schoolbook" w:eastAsiaTheme="minorEastAsia"/>
          <w:sz w:val="22"/>
          <w:szCs w:val="22"/>
          <w:highlight w:val="green"/>
          <w:lang w:val="en-US" w:eastAsia="zh-CN"/>
        </w:rPr>
      </w:pPr>
      <w:r>
        <w:rPr>
          <w:rFonts w:hint="eastAsia" w:ascii="Century Schoolbook" w:hAnsi="Century Schoolbook" w:eastAsiaTheme="minorEastAsia"/>
          <w:sz w:val="22"/>
          <w:szCs w:val="22"/>
          <w:highlight w:val="green"/>
          <w:lang w:val="en-US" w:eastAsia="zh-CN"/>
        </w:rPr>
        <w:t>At the school level, Catholic school attendance has a positive estimated association with college graduation, but the effect is not statistically significant. The population-average coefficient for CATHOLIC is β = 0.425, which gives an odds ratio of exp(0.425) = 1.53. This means that students attending Catholic schools are estimated to have about 1.53 times the odds of college graduation compared to students attending non-Catholic schools, holding the other variables constant.</w:t>
      </w:r>
    </w:p>
    <w:p w14:paraId="573FCF94">
      <w:pPr>
        <w:pStyle w:val="3"/>
        <w:rPr>
          <w:rFonts w:hint="eastAsia" w:ascii="Century Schoolbook" w:hAnsi="Century Schoolbook" w:eastAsiaTheme="minorEastAsia"/>
          <w:sz w:val="22"/>
          <w:szCs w:val="22"/>
          <w:highlight w:val="green"/>
          <w:lang w:val="en-US" w:eastAsia="zh-CN"/>
        </w:rPr>
      </w:pPr>
      <w:r>
        <w:rPr>
          <w:rFonts w:hint="eastAsia" w:ascii="Century Schoolbook" w:hAnsi="Century Schoolbook" w:eastAsiaTheme="minorEastAsia"/>
          <w:sz w:val="22"/>
          <w:szCs w:val="22"/>
          <w:highlight w:val="green"/>
          <w:lang w:val="en-US" w:eastAsia="zh-CN"/>
        </w:rPr>
        <w:t>consider a reference student with all other predictors set to 0. For this student in a non-Catholic school,p0 = 0.381.For the same student in a Catholic school,p1 = 0.485, and the change in predicted probability is 0.104.</w:t>
      </w:r>
    </w:p>
    <w:p w14:paraId="73FC9D90">
      <w:pPr>
        <w:pStyle w:val="3"/>
        <w:rPr>
          <w:rFonts w:hint="eastAsia" w:ascii="Century Schoolbook" w:hAnsi="Century Schoolbook" w:eastAsiaTheme="minorEastAsia"/>
          <w:sz w:val="22"/>
          <w:szCs w:val="22"/>
          <w:highlight w:val="green"/>
          <w:lang w:val="en-US" w:eastAsia="zh-CN"/>
        </w:rPr>
      </w:pPr>
      <w:r>
        <w:rPr>
          <w:rFonts w:hint="eastAsia" w:ascii="Century Schoolbook" w:hAnsi="Century Schoolbook" w:eastAsiaTheme="minorEastAsia"/>
          <w:sz w:val="22"/>
          <w:szCs w:val="22"/>
          <w:highlight w:val="green"/>
          <w:lang w:val="en-US" w:eastAsia="zh-CN"/>
        </w:rPr>
        <w:t>attending a Catholic school is associated with an estimated 10.4 percentage-point increase in the predicted probability of eventually obtaining a BA degree for this reference student. However, because the Catholic coefficient is not statistically significant, this should be interpreted cautiously and not as strong evidence of a Catholic school effect.</w:t>
      </w:r>
    </w:p>
    <w:p w14:paraId="22DBD9E7">
      <w:pPr>
        <w:pStyle w:val="50"/>
        <w:shd w:val="clear" w:color="auto" w:fill="FFFFFF" w:themeFill="background1"/>
        <w:rPr>
          <w:rFonts w:hint="default" w:ascii="Century Schoolbook" w:hAnsi="Century Schoolbook" w:eastAsiaTheme="minorEastAsia" w:cstheme="minorBidi"/>
          <w:sz w:val="22"/>
          <w:szCs w:val="22"/>
          <w:highlight w:val="green"/>
          <w:lang w:val="en-US" w:eastAsia="zh-CN" w:bidi="ar-SA"/>
        </w:rPr>
      </w:pPr>
      <w:r>
        <w:rPr>
          <w:rFonts w:hint="eastAsia" w:ascii="Century Schoolbook" w:hAnsi="Century Schoolbook" w:eastAsiaTheme="minorEastAsia" w:cstheme="minorBidi"/>
          <w:sz w:val="22"/>
          <w:szCs w:val="22"/>
          <w:highlight w:val="green"/>
          <w:lang w:val="en-US" w:eastAsia="zh-CN" w:bidi="ar-SA"/>
        </w:rPr>
        <w:t>But if we should use the old model, plz ign</w:t>
      </w:r>
      <w:bookmarkStart w:id="0" w:name="_GoBack"/>
      <w:bookmarkEnd w:id="0"/>
      <w:r>
        <w:rPr>
          <w:rFonts w:hint="eastAsia" w:ascii="Century Schoolbook" w:hAnsi="Century Schoolbook" w:eastAsiaTheme="minorEastAsia" w:cstheme="minorBidi"/>
          <w:sz w:val="22"/>
          <w:szCs w:val="22"/>
          <w:highlight w:val="green"/>
          <w:lang w:val="en-US" w:eastAsia="zh-CN" w:bidi="ar-SA"/>
        </w:rPr>
        <w:t>ore this pragraph.</w:t>
      </w:r>
    </w:p>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entury Schoolbook">
    <w:panose1 w:val="02040604050505020304"/>
    <w:charset w:val="00"/>
    <w:family w:val="roman"/>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8014E"/>
    <w:multiLevelType w:val="multilevel"/>
    <w:tmpl w:val="1818014E"/>
    <w:lvl w:ilvl="0" w:tentative="0">
      <w:start w:val="1"/>
      <w:numFmt w:val="decimal"/>
      <w:lvlText w:val="%1."/>
      <w:lvlJc w:val="left"/>
      <w:pPr>
        <w:ind w:left="-360" w:hanging="360"/>
      </w:pPr>
      <w:rPr>
        <w:rFonts w:hint="default"/>
      </w:rPr>
    </w:lvl>
    <w:lvl w:ilvl="1" w:tentative="0">
      <w:start w:val="1"/>
      <w:numFmt w:val="lowerLetter"/>
      <w:lvlText w:val="%2."/>
      <w:lvlJc w:val="left"/>
      <w:pPr>
        <w:ind w:left="360" w:hanging="360"/>
      </w:pPr>
    </w:lvl>
    <w:lvl w:ilvl="2" w:tentative="0">
      <w:start w:val="1"/>
      <w:numFmt w:val="lowerRoman"/>
      <w:lvlText w:val="%3."/>
      <w:lvlJc w:val="right"/>
      <w:pPr>
        <w:ind w:left="1080" w:hanging="180"/>
      </w:pPr>
    </w:lvl>
    <w:lvl w:ilvl="3" w:tentative="0">
      <w:start w:val="1"/>
      <w:numFmt w:val="decimal"/>
      <w:lvlText w:val="%4."/>
      <w:lvlJc w:val="left"/>
      <w:pPr>
        <w:ind w:left="1800" w:hanging="360"/>
      </w:pPr>
    </w:lvl>
    <w:lvl w:ilvl="4" w:tentative="0">
      <w:start w:val="1"/>
      <w:numFmt w:val="lowerLetter"/>
      <w:lvlText w:val="%5."/>
      <w:lvlJc w:val="left"/>
      <w:pPr>
        <w:ind w:left="2520" w:hanging="360"/>
      </w:pPr>
    </w:lvl>
    <w:lvl w:ilvl="5" w:tentative="0">
      <w:start w:val="1"/>
      <w:numFmt w:val="lowerRoman"/>
      <w:lvlText w:val="%6."/>
      <w:lvlJc w:val="right"/>
      <w:pPr>
        <w:ind w:left="3240" w:hanging="180"/>
      </w:pPr>
    </w:lvl>
    <w:lvl w:ilvl="6" w:tentative="0">
      <w:start w:val="1"/>
      <w:numFmt w:val="decimal"/>
      <w:lvlText w:val="%7."/>
      <w:lvlJc w:val="left"/>
      <w:pPr>
        <w:ind w:left="3960" w:hanging="360"/>
      </w:pPr>
    </w:lvl>
    <w:lvl w:ilvl="7" w:tentative="0">
      <w:start w:val="1"/>
      <w:numFmt w:val="lowerLetter"/>
      <w:lvlText w:val="%8."/>
      <w:lvlJc w:val="left"/>
      <w:pPr>
        <w:ind w:left="4680" w:hanging="360"/>
      </w:pPr>
    </w:lvl>
    <w:lvl w:ilvl="8" w:tentative="0">
      <w:start w:val="1"/>
      <w:numFmt w:val="lowerRoman"/>
      <w:lvlText w:val="%9."/>
      <w:lvlJc w:val="right"/>
      <w:pPr>
        <w:ind w:left="54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2"/>
  </w:compat>
  <w:rsids>
    <w:rsidRoot w:val="00DA2B13"/>
    <w:rsid w:val="000116EE"/>
    <w:rsid w:val="000858AE"/>
    <w:rsid w:val="000C2B44"/>
    <w:rsid w:val="001300E1"/>
    <w:rsid w:val="0013599D"/>
    <w:rsid w:val="001A50D1"/>
    <w:rsid w:val="001F5C4B"/>
    <w:rsid w:val="00214FF0"/>
    <w:rsid w:val="00257C94"/>
    <w:rsid w:val="0026077F"/>
    <w:rsid w:val="002C374B"/>
    <w:rsid w:val="00382A6F"/>
    <w:rsid w:val="0039552F"/>
    <w:rsid w:val="003F51B7"/>
    <w:rsid w:val="00435279"/>
    <w:rsid w:val="00445AD9"/>
    <w:rsid w:val="00524819"/>
    <w:rsid w:val="00573C1D"/>
    <w:rsid w:val="005A7907"/>
    <w:rsid w:val="005E26E8"/>
    <w:rsid w:val="00600621"/>
    <w:rsid w:val="006720B0"/>
    <w:rsid w:val="006D2D37"/>
    <w:rsid w:val="006F01F7"/>
    <w:rsid w:val="006F469B"/>
    <w:rsid w:val="00837F28"/>
    <w:rsid w:val="008476C6"/>
    <w:rsid w:val="008A517B"/>
    <w:rsid w:val="008B676C"/>
    <w:rsid w:val="008F7CD2"/>
    <w:rsid w:val="00926334"/>
    <w:rsid w:val="0095567F"/>
    <w:rsid w:val="00986B55"/>
    <w:rsid w:val="009F4E92"/>
    <w:rsid w:val="00A36C97"/>
    <w:rsid w:val="00A44D8F"/>
    <w:rsid w:val="00AA20FC"/>
    <w:rsid w:val="00AB780F"/>
    <w:rsid w:val="00AC50FB"/>
    <w:rsid w:val="00AF67EE"/>
    <w:rsid w:val="00B72082"/>
    <w:rsid w:val="00BB1084"/>
    <w:rsid w:val="00BF34FF"/>
    <w:rsid w:val="00C0312E"/>
    <w:rsid w:val="00C94A16"/>
    <w:rsid w:val="00CC7158"/>
    <w:rsid w:val="00CD463C"/>
    <w:rsid w:val="00CE2ECA"/>
    <w:rsid w:val="00CE31D3"/>
    <w:rsid w:val="00D1233F"/>
    <w:rsid w:val="00D80611"/>
    <w:rsid w:val="00DA2B13"/>
    <w:rsid w:val="00DA69EA"/>
    <w:rsid w:val="00DB6D28"/>
    <w:rsid w:val="00DB7FF4"/>
    <w:rsid w:val="00DD3821"/>
    <w:rsid w:val="00E25331"/>
    <w:rsid w:val="00E53EB4"/>
    <w:rsid w:val="00E55BA4"/>
    <w:rsid w:val="00EA4D08"/>
    <w:rsid w:val="00EA7851"/>
    <w:rsid w:val="00EA79AF"/>
    <w:rsid w:val="00EC68A5"/>
    <w:rsid w:val="00EF5767"/>
    <w:rsid w:val="00F1619C"/>
    <w:rsid w:val="00F30F54"/>
    <w:rsid w:val="00F42872"/>
    <w:rsid w:val="00FC0EE7"/>
    <w:rsid w:val="00FD0A81"/>
    <w:rsid w:val="2E47051C"/>
    <w:rsid w:val="4B891C31"/>
    <w:rsid w:val="4E5C46C4"/>
    <w:rsid w:val="5B7E4CCE"/>
    <w:rsid w:val="5BDA111A"/>
    <w:rsid w:val="62646DC0"/>
    <w:rsid w:val="6C135273"/>
    <w:rsid w:val="71A16BBB"/>
    <w:rsid w:val="72DC0911"/>
    <w:rsid w:val="77CB2DED"/>
    <w:rsid w:val="78790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4"/>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Caption Char"/>
    <w:basedOn w:val="19"/>
    <w:link w:val="12"/>
    <w:qFormat/>
    <w:uiPriority w:val="0"/>
  </w:style>
  <w:style w:type="character" w:styleId="22">
    <w:name w:val="annotation reference"/>
    <w:basedOn w:val="19"/>
    <w:unhideWhenUsed/>
    <w:qFormat/>
    <w:uiPriority w:val="0"/>
    <w:rPr>
      <w:sz w:val="16"/>
      <w:szCs w:val="16"/>
    </w:rPr>
  </w:style>
  <w:style w:type="character" w:styleId="23">
    <w:name w:val="footnote reference"/>
    <w:basedOn w:val="21"/>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qFormat/>
    <w:uiPriority w:val="10"/>
    <w:rPr>
      <w:rFonts w:asciiTheme="majorHAnsi" w:hAnsiTheme="majorHAnsi" w:eastAsiaTheme="majorEastAsia" w:cstheme="majorBidi"/>
      <w:sz w:val="56"/>
      <w:szCs w:val="56"/>
    </w:rPr>
  </w:style>
  <w:style w:type="character" w:customStyle="1" w:styleId="27">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9"/>
    <w:link w:val="6"/>
    <w:semiHidden/>
    <w:uiPriority w:val="9"/>
    <w:rPr>
      <w:rFonts w:eastAsiaTheme="majorEastAsia" w:cstheme="majorBidi"/>
      <w:i/>
      <w:iCs/>
      <w:color w:val="0F4761" w:themeColor="accent1" w:themeShade="BF"/>
    </w:rPr>
  </w:style>
  <w:style w:type="character" w:customStyle="1" w:styleId="36">
    <w:name w:val="Heading 5 Char"/>
    <w:basedOn w:val="19"/>
    <w:link w:val="7"/>
    <w:semiHidden/>
    <w:qFormat/>
    <w:uiPriority w:val="9"/>
    <w:rPr>
      <w:rFonts w:eastAsiaTheme="majorEastAsia" w:cstheme="majorBidi"/>
      <w:color w:val="0F4761" w:themeColor="accent1" w:themeShade="BF"/>
    </w:rPr>
  </w:style>
  <w:style w:type="character" w:customStyle="1" w:styleId="37">
    <w:name w:val="Heading 6 Char"/>
    <w:basedOn w:val="19"/>
    <w:link w:val="8"/>
    <w:semiHidden/>
    <w:qFormat/>
    <w:uiPriority w:val="9"/>
    <w:rPr>
      <w:rFonts w:eastAsiaTheme="majorEastAsia" w:cstheme="majorBidi"/>
      <w:i/>
      <w:iCs/>
      <w:color w:val="585858" w:themeColor="text1" w:themeTint="A6"/>
    </w:rPr>
  </w:style>
  <w:style w:type="character" w:customStyle="1" w:styleId="38">
    <w:name w:val="Heading 7 Char"/>
    <w:basedOn w:val="19"/>
    <w:link w:val="9"/>
    <w:semiHidden/>
    <w:qFormat/>
    <w:uiPriority w:val="9"/>
    <w:rPr>
      <w:rFonts w:eastAsiaTheme="majorEastAsia" w:cstheme="majorBidi"/>
      <w:color w:val="585858" w:themeColor="text1" w:themeTint="A6"/>
    </w:rPr>
  </w:style>
  <w:style w:type="character" w:customStyle="1" w:styleId="39">
    <w:name w:val="Heading 8 Char"/>
    <w:basedOn w:val="19"/>
    <w:link w:val="10"/>
    <w:semiHidden/>
    <w:qFormat/>
    <w:uiPriority w:val="9"/>
    <w:rPr>
      <w:rFonts w:eastAsiaTheme="majorEastAsia" w:cstheme="majorBidi"/>
      <w:i/>
      <w:iCs/>
      <w:color w:val="262626" w:themeColor="text1" w:themeTint="D8"/>
    </w:rPr>
  </w:style>
  <w:style w:type="character" w:customStyle="1" w:styleId="40">
    <w:name w:val="Heading 9 Char"/>
    <w:basedOn w:val="19"/>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1"/>
    <w:link w:val="50"/>
    <w:uiPriority w:val="0"/>
    <w:rPr>
      <w:rFonts w:ascii="Consolas" w:hAnsi="Consolas"/>
      <w:sz w:val="22"/>
    </w:rPr>
  </w:style>
  <w:style w:type="paragraph" w:customStyle="1" w:styleId="50">
    <w:name w:val="Source Code"/>
    <w:basedOn w:val="1"/>
    <w:link w:val="49"/>
    <w:qFormat/>
    <w:uiPriority w:val="0"/>
    <w:pPr>
      <w:shd w:val="clear" w:color="auto" w:fill="F1F3F5"/>
      <w:wordWrap w:val="0"/>
    </w:pPr>
  </w:style>
  <w:style w:type="character" w:customStyle="1" w:styleId="51">
    <w:name w:val="Section Number"/>
    <w:basedOn w:val="21"/>
    <w:qFormat/>
    <w:uiPriority w:val="0"/>
  </w:style>
  <w:style w:type="paragraph" w:customStyle="1" w:styleId="52">
    <w:name w:val="TOC Heading"/>
    <w:basedOn w:val="2"/>
    <w:next w:val="3"/>
    <w:unhideWhenUsed/>
    <w:qFormat/>
    <w:uiPriority w:val="39"/>
    <w:pPr>
      <w:spacing w:before="240" w:line="259" w:lineRule="auto"/>
      <w:outlineLvl w:val="9"/>
    </w:pPr>
  </w:style>
  <w:style w:type="character" w:customStyle="1" w:styleId="53">
    <w:name w:val="KeywordTok"/>
    <w:basedOn w:val="49"/>
    <w:qFormat/>
    <w:uiPriority w:val="0"/>
    <w:rPr>
      <w:rFonts w:ascii="Consolas" w:hAnsi="Consolas"/>
      <w:b/>
      <w:color w:val="003B4F"/>
      <w:sz w:val="22"/>
      <w:shd w:val="clear" w:color="auto" w:fill="F1F3F5"/>
    </w:rPr>
  </w:style>
  <w:style w:type="character" w:customStyle="1" w:styleId="54">
    <w:name w:val="DataTypeTok"/>
    <w:basedOn w:val="49"/>
    <w:qFormat/>
    <w:uiPriority w:val="0"/>
    <w:rPr>
      <w:rFonts w:ascii="Consolas" w:hAnsi="Consolas"/>
      <w:color w:val="AD0000"/>
      <w:sz w:val="22"/>
      <w:shd w:val="clear" w:color="auto" w:fill="F1F3F5"/>
    </w:rPr>
  </w:style>
  <w:style w:type="character" w:customStyle="1" w:styleId="55">
    <w:name w:val="DecValTok"/>
    <w:basedOn w:val="49"/>
    <w:qFormat/>
    <w:uiPriority w:val="0"/>
    <w:rPr>
      <w:rFonts w:ascii="Consolas" w:hAnsi="Consolas"/>
      <w:color w:val="AD0000"/>
      <w:sz w:val="22"/>
      <w:shd w:val="clear" w:color="auto" w:fill="F1F3F5"/>
    </w:rPr>
  </w:style>
  <w:style w:type="character" w:customStyle="1" w:styleId="56">
    <w:name w:val="BaseNTok"/>
    <w:basedOn w:val="49"/>
    <w:qFormat/>
    <w:uiPriority w:val="0"/>
    <w:rPr>
      <w:rFonts w:ascii="Consolas" w:hAnsi="Consolas"/>
      <w:color w:val="AD0000"/>
      <w:sz w:val="22"/>
      <w:shd w:val="clear" w:color="auto" w:fill="F1F3F5"/>
    </w:rPr>
  </w:style>
  <w:style w:type="character" w:customStyle="1" w:styleId="57">
    <w:name w:val="FloatTok"/>
    <w:basedOn w:val="49"/>
    <w:qFormat/>
    <w:uiPriority w:val="0"/>
    <w:rPr>
      <w:rFonts w:ascii="Consolas" w:hAnsi="Consolas"/>
      <w:color w:val="AD0000"/>
      <w:sz w:val="22"/>
      <w:shd w:val="clear" w:color="auto" w:fill="F1F3F5"/>
    </w:rPr>
  </w:style>
  <w:style w:type="character" w:customStyle="1" w:styleId="58">
    <w:name w:val="ConstantTok"/>
    <w:basedOn w:val="49"/>
    <w:qFormat/>
    <w:uiPriority w:val="0"/>
    <w:rPr>
      <w:rFonts w:ascii="Consolas" w:hAnsi="Consolas"/>
      <w:color w:val="8F5902"/>
      <w:sz w:val="22"/>
      <w:shd w:val="clear" w:color="auto" w:fill="F1F3F5"/>
    </w:rPr>
  </w:style>
  <w:style w:type="character" w:customStyle="1" w:styleId="59">
    <w:name w:val="CharTok"/>
    <w:basedOn w:val="49"/>
    <w:qFormat/>
    <w:uiPriority w:val="0"/>
    <w:rPr>
      <w:rFonts w:ascii="Consolas" w:hAnsi="Consolas"/>
      <w:color w:val="20794D"/>
      <w:sz w:val="22"/>
      <w:shd w:val="clear" w:color="auto" w:fill="F1F3F5"/>
    </w:rPr>
  </w:style>
  <w:style w:type="character" w:customStyle="1" w:styleId="60">
    <w:name w:val="SpecialCharTok"/>
    <w:basedOn w:val="49"/>
    <w:qFormat/>
    <w:uiPriority w:val="0"/>
    <w:rPr>
      <w:rFonts w:ascii="Consolas" w:hAnsi="Consolas"/>
      <w:color w:val="5E5E5E"/>
      <w:sz w:val="22"/>
      <w:shd w:val="clear" w:color="auto" w:fill="F1F3F5"/>
    </w:rPr>
  </w:style>
  <w:style w:type="character" w:customStyle="1" w:styleId="61">
    <w:name w:val="StringTok"/>
    <w:basedOn w:val="49"/>
    <w:qFormat/>
    <w:uiPriority w:val="0"/>
    <w:rPr>
      <w:rFonts w:ascii="Consolas" w:hAnsi="Consolas"/>
      <w:color w:val="20794D"/>
      <w:sz w:val="22"/>
      <w:shd w:val="clear" w:color="auto" w:fill="F1F3F5"/>
    </w:rPr>
  </w:style>
  <w:style w:type="character" w:customStyle="1" w:styleId="62">
    <w:name w:val="VerbatimStringTok"/>
    <w:basedOn w:val="49"/>
    <w:qFormat/>
    <w:uiPriority w:val="0"/>
    <w:rPr>
      <w:rFonts w:ascii="Consolas" w:hAnsi="Consolas"/>
      <w:color w:val="20794D"/>
      <w:sz w:val="22"/>
      <w:shd w:val="clear" w:color="auto" w:fill="F1F3F5"/>
    </w:rPr>
  </w:style>
  <w:style w:type="character" w:customStyle="1" w:styleId="63">
    <w:name w:val="SpecialStringTok"/>
    <w:basedOn w:val="49"/>
    <w:qFormat/>
    <w:uiPriority w:val="0"/>
    <w:rPr>
      <w:rFonts w:ascii="Consolas" w:hAnsi="Consolas"/>
      <w:color w:val="20794D"/>
      <w:sz w:val="22"/>
      <w:shd w:val="clear" w:color="auto" w:fill="F1F3F5"/>
    </w:rPr>
  </w:style>
  <w:style w:type="character" w:customStyle="1" w:styleId="64">
    <w:name w:val="ImportTok"/>
    <w:basedOn w:val="49"/>
    <w:qFormat/>
    <w:uiPriority w:val="0"/>
    <w:rPr>
      <w:rFonts w:ascii="Consolas" w:hAnsi="Consolas"/>
      <w:color w:val="00769E"/>
      <w:sz w:val="22"/>
      <w:shd w:val="clear" w:color="auto" w:fill="F1F3F5"/>
    </w:rPr>
  </w:style>
  <w:style w:type="character" w:customStyle="1" w:styleId="65">
    <w:name w:val="CommentTok"/>
    <w:basedOn w:val="49"/>
    <w:qFormat/>
    <w:uiPriority w:val="0"/>
    <w:rPr>
      <w:rFonts w:ascii="Consolas" w:hAnsi="Consolas"/>
      <w:color w:val="5E5E5E"/>
      <w:sz w:val="22"/>
      <w:shd w:val="clear" w:color="auto" w:fill="F1F3F5"/>
    </w:rPr>
  </w:style>
  <w:style w:type="character" w:customStyle="1" w:styleId="66">
    <w:name w:val="DocumentationTok"/>
    <w:basedOn w:val="49"/>
    <w:qFormat/>
    <w:uiPriority w:val="0"/>
    <w:rPr>
      <w:rFonts w:ascii="Consolas" w:hAnsi="Consolas"/>
      <w:i/>
      <w:color w:val="5E5E5E"/>
      <w:sz w:val="22"/>
      <w:shd w:val="clear" w:color="auto" w:fill="F1F3F5"/>
    </w:rPr>
  </w:style>
  <w:style w:type="character" w:customStyle="1" w:styleId="67">
    <w:name w:val="AnnotationTok"/>
    <w:basedOn w:val="49"/>
    <w:qFormat/>
    <w:uiPriority w:val="0"/>
    <w:rPr>
      <w:rFonts w:ascii="Consolas" w:hAnsi="Consolas"/>
      <w:color w:val="5E5E5E"/>
      <w:sz w:val="22"/>
      <w:shd w:val="clear" w:color="auto" w:fill="F1F3F5"/>
    </w:rPr>
  </w:style>
  <w:style w:type="character" w:customStyle="1" w:styleId="68">
    <w:name w:val="CommentVarTok"/>
    <w:basedOn w:val="49"/>
    <w:qFormat/>
    <w:uiPriority w:val="0"/>
    <w:rPr>
      <w:rFonts w:ascii="Consolas" w:hAnsi="Consolas"/>
      <w:i/>
      <w:color w:val="5E5E5E"/>
      <w:sz w:val="22"/>
      <w:shd w:val="clear" w:color="auto" w:fill="F1F3F5"/>
    </w:rPr>
  </w:style>
  <w:style w:type="character" w:customStyle="1" w:styleId="69">
    <w:name w:val="OtherTok"/>
    <w:basedOn w:val="49"/>
    <w:qFormat/>
    <w:uiPriority w:val="0"/>
    <w:rPr>
      <w:rFonts w:ascii="Consolas" w:hAnsi="Consolas"/>
      <w:color w:val="003B4F"/>
      <w:sz w:val="22"/>
      <w:shd w:val="clear" w:color="auto" w:fill="F1F3F5"/>
    </w:rPr>
  </w:style>
  <w:style w:type="character" w:customStyle="1" w:styleId="70">
    <w:name w:val="FunctionTok"/>
    <w:basedOn w:val="49"/>
    <w:qFormat/>
    <w:uiPriority w:val="0"/>
    <w:rPr>
      <w:rFonts w:ascii="Consolas" w:hAnsi="Consolas"/>
      <w:color w:val="4758AB"/>
      <w:sz w:val="22"/>
      <w:shd w:val="clear" w:color="auto" w:fill="F1F3F5"/>
    </w:rPr>
  </w:style>
  <w:style w:type="character" w:customStyle="1" w:styleId="71">
    <w:name w:val="VariableTok"/>
    <w:basedOn w:val="49"/>
    <w:qFormat/>
    <w:uiPriority w:val="0"/>
    <w:rPr>
      <w:rFonts w:ascii="Consolas" w:hAnsi="Consolas"/>
      <w:color w:val="111111"/>
      <w:sz w:val="22"/>
      <w:shd w:val="clear" w:color="auto" w:fill="F1F3F5"/>
    </w:rPr>
  </w:style>
  <w:style w:type="character" w:customStyle="1" w:styleId="72">
    <w:name w:val="ControlFlowTok"/>
    <w:basedOn w:val="49"/>
    <w:qFormat/>
    <w:uiPriority w:val="0"/>
    <w:rPr>
      <w:rFonts w:ascii="Consolas" w:hAnsi="Consolas"/>
      <w:b/>
      <w:color w:val="003B4F"/>
      <w:sz w:val="22"/>
      <w:shd w:val="clear" w:color="auto" w:fill="F1F3F5"/>
    </w:rPr>
  </w:style>
  <w:style w:type="character" w:customStyle="1" w:styleId="73">
    <w:name w:val="OperatorTok"/>
    <w:basedOn w:val="49"/>
    <w:qFormat/>
    <w:uiPriority w:val="0"/>
    <w:rPr>
      <w:rFonts w:ascii="Consolas" w:hAnsi="Consolas"/>
      <w:color w:val="5E5E5E"/>
      <w:sz w:val="22"/>
      <w:shd w:val="clear" w:color="auto" w:fill="F1F3F5"/>
    </w:rPr>
  </w:style>
  <w:style w:type="character" w:customStyle="1" w:styleId="74">
    <w:name w:val="BuiltInTok"/>
    <w:basedOn w:val="49"/>
    <w:qFormat/>
    <w:uiPriority w:val="0"/>
    <w:rPr>
      <w:rFonts w:ascii="Consolas" w:hAnsi="Consolas"/>
      <w:color w:val="003B4F"/>
      <w:sz w:val="22"/>
      <w:shd w:val="clear" w:color="auto" w:fill="F1F3F5"/>
    </w:rPr>
  </w:style>
  <w:style w:type="character" w:customStyle="1" w:styleId="75">
    <w:name w:val="ExtensionTok"/>
    <w:basedOn w:val="49"/>
    <w:qFormat/>
    <w:uiPriority w:val="0"/>
    <w:rPr>
      <w:rFonts w:ascii="Consolas" w:hAnsi="Consolas"/>
      <w:color w:val="003B4F"/>
      <w:sz w:val="22"/>
      <w:shd w:val="clear" w:color="auto" w:fill="F1F3F5"/>
    </w:rPr>
  </w:style>
  <w:style w:type="character" w:customStyle="1" w:styleId="76">
    <w:name w:val="PreprocessorTok"/>
    <w:basedOn w:val="49"/>
    <w:qFormat/>
    <w:uiPriority w:val="0"/>
    <w:rPr>
      <w:rFonts w:ascii="Consolas" w:hAnsi="Consolas"/>
      <w:color w:val="AD0000"/>
      <w:sz w:val="22"/>
      <w:shd w:val="clear" w:color="auto" w:fill="F1F3F5"/>
    </w:rPr>
  </w:style>
  <w:style w:type="character" w:customStyle="1" w:styleId="77">
    <w:name w:val="AttributeTok"/>
    <w:basedOn w:val="49"/>
    <w:qFormat/>
    <w:uiPriority w:val="0"/>
    <w:rPr>
      <w:rFonts w:ascii="Consolas" w:hAnsi="Consolas"/>
      <w:color w:val="657422"/>
      <w:sz w:val="22"/>
      <w:shd w:val="clear" w:color="auto" w:fill="F1F3F5"/>
    </w:rPr>
  </w:style>
  <w:style w:type="character" w:customStyle="1" w:styleId="78">
    <w:name w:val="RegionMarkerTok"/>
    <w:basedOn w:val="49"/>
    <w:qFormat/>
    <w:uiPriority w:val="0"/>
    <w:rPr>
      <w:rFonts w:ascii="Consolas" w:hAnsi="Consolas"/>
      <w:color w:val="003B4F"/>
      <w:sz w:val="22"/>
      <w:shd w:val="clear" w:color="auto" w:fill="F1F3F5"/>
    </w:rPr>
  </w:style>
  <w:style w:type="character" w:customStyle="1" w:styleId="79">
    <w:name w:val="InformationTok"/>
    <w:basedOn w:val="49"/>
    <w:qFormat/>
    <w:uiPriority w:val="0"/>
    <w:rPr>
      <w:rFonts w:ascii="Consolas" w:hAnsi="Consolas"/>
      <w:color w:val="5E5E5E"/>
      <w:sz w:val="22"/>
      <w:shd w:val="clear" w:color="auto" w:fill="F1F3F5"/>
    </w:rPr>
  </w:style>
  <w:style w:type="character" w:customStyle="1" w:styleId="80">
    <w:name w:val="WarningTok"/>
    <w:basedOn w:val="49"/>
    <w:qFormat/>
    <w:uiPriority w:val="0"/>
    <w:rPr>
      <w:rFonts w:ascii="Consolas" w:hAnsi="Consolas"/>
      <w:i/>
      <w:color w:val="5E5E5E"/>
      <w:sz w:val="22"/>
      <w:shd w:val="clear" w:color="auto" w:fill="F1F3F5"/>
    </w:rPr>
  </w:style>
  <w:style w:type="character" w:customStyle="1" w:styleId="81">
    <w:name w:val="AlertTok"/>
    <w:basedOn w:val="49"/>
    <w:uiPriority w:val="0"/>
    <w:rPr>
      <w:rFonts w:ascii="Consolas" w:hAnsi="Consolas"/>
      <w:color w:val="AD0000"/>
      <w:sz w:val="22"/>
      <w:shd w:val="clear" w:color="auto" w:fill="F1F3F5"/>
    </w:rPr>
  </w:style>
  <w:style w:type="character" w:customStyle="1" w:styleId="82">
    <w:name w:val="ErrorTok"/>
    <w:basedOn w:val="49"/>
    <w:qFormat/>
    <w:uiPriority w:val="0"/>
    <w:rPr>
      <w:rFonts w:ascii="Consolas" w:hAnsi="Consolas"/>
      <w:color w:val="AD0000"/>
      <w:sz w:val="22"/>
      <w:shd w:val="clear" w:color="auto" w:fill="F1F3F5"/>
    </w:rPr>
  </w:style>
  <w:style w:type="character" w:customStyle="1" w:styleId="83">
    <w:name w:val="NormalTok"/>
    <w:basedOn w:val="49"/>
    <w:qFormat/>
    <w:uiPriority w:val="0"/>
    <w:rPr>
      <w:rFonts w:ascii="Consolas" w:hAnsi="Consolas"/>
      <w:color w:val="003B4F"/>
      <w:sz w:val="22"/>
      <w:shd w:val="clear" w:color="auto" w:fill="F1F3F5"/>
    </w:rPr>
  </w:style>
  <w:style w:type="character" w:customStyle="1" w:styleId="84">
    <w:name w:val="Body Text Char"/>
    <w:basedOn w:val="19"/>
    <w:link w:val="3"/>
    <w:qFormat/>
    <w:uiPriority w:val="0"/>
  </w:style>
  <w:style w:type="character" w:styleId="85">
    <w:name w:val="Placeholder Text"/>
    <w:basedOn w:val="19"/>
    <w:qFormat/>
    <w:uiPriority w:val="0"/>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chart" Target="charts/chart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dmin\Desktop\assignment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Predicted Math Achievement over Time (by Race)</a:t>
            </a:r>
          </a:p>
        </c:rich>
      </c:tx>
      <c:layout/>
      <c:overlay val="0"/>
      <c:spPr>
        <a:noFill/>
        <a:ln>
          <a:noFill/>
        </a:ln>
        <a:effectLst/>
      </c:spPr>
    </c:title>
    <c:autoTitleDeleted val="0"/>
    <c:plotArea>
      <c:layout/>
      <c:lineChart>
        <c:grouping val="standard"/>
        <c:varyColors val="0"/>
        <c:ser>
          <c:idx val="1"/>
          <c:order val="1"/>
          <c:tx>
            <c:strRef>
              <c:f>[assignment2.xlsx]Sheet1!$B$1</c:f>
              <c:strCache>
                <c:ptCount val="1"/>
                <c:pt idx="0">
                  <c:v>White</c:v>
                </c:pt>
              </c:strCache>
            </c:strRef>
          </c:tx>
          <c:spPr>
            <a:ln w="28575" cap="rnd">
              <a:solidFill>
                <a:schemeClr val="accent2"/>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[assignment2.xlsx]Sheet1!$B$2:$B$6</c:f>
              <c:numCache>
                <c:formatCode>General</c:formatCode>
                <c:ptCount val="5"/>
                <c:pt idx="0">
                  <c:v>-2.17178</c:v>
                </c:pt>
                <c:pt idx="1">
                  <c:v>-1.15717</c:v>
                </c:pt>
                <c:pt idx="2">
                  <c:v>-0.2615</c:v>
                </c:pt>
                <c:pt idx="3">
                  <c:v>0.51523</c:v>
                </c:pt>
                <c:pt idx="4">
                  <c:v>1.17302</c:v>
                </c:pt>
              </c:numCache>
            </c:numRef>
          </c:val>
          <c:smooth val="0"/>
        </c:ser>
        <c:ser>
          <c:idx val="2"/>
          <c:order val="2"/>
          <c:tx>
            <c:strRef>
              <c:f>[assignment2.xlsx]Sheet1!$C$1</c:f>
              <c:strCache>
                <c:ptCount val="1"/>
                <c:pt idx="0">
                  <c:v>Black</c:v>
                </c:pt>
              </c:strCache>
            </c:strRef>
          </c:tx>
          <c:spPr>
            <a:ln w="28575" cap="rnd">
              <a:solidFill>
                <a:schemeClr val="accent3"/>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[assignment2.xlsx]Sheet1!$C$2:$C$6</c:f>
              <c:numCache>
                <c:formatCode>General</c:formatCode>
                <c:ptCount val="5"/>
                <c:pt idx="0">
                  <c:v>-2.58334</c:v>
                </c:pt>
                <c:pt idx="1">
                  <c:v>-1.69031</c:v>
                </c:pt>
                <c:pt idx="2">
                  <c:v>-0.8795</c:v>
                </c:pt>
                <c:pt idx="3">
                  <c:v>-0.15091</c:v>
                </c:pt>
                <c:pt idx="4">
                  <c:v>0.49546</c:v>
                </c:pt>
              </c:numCache>
            </c:numRef>
          </c:val>
          <c:smooth val="0"/>
        </c:ser>
        <c:ser>
          <c:idx val="3"/>
          <c:order val="3"/>
          <c:tx>
            <c:strRef>
              <c:f>[assignment2.xlsx]Sheet1!$D$1</c:f>
              <c:strCache>
                <c:ptCount val="1"/>
                <c:pt idx="0">
                  <c:v>Hispanic</c:v>
                </c:pt>
              </c:strCache>
            </c:strRef>
          </c:tx>
          <c:spPr>
            <a:ln w="28575" cap="rnd">
              <a:solidFill>
                <a:schemeClr val="accent4"/>
              </a:solidFill>
              <a:round/>
            </a:ln>
            <a:effectLst/>
          </c:spPr>
          <c:marker>
            <c:symbol val="none"/>
          </c:marker>
          <c:dLbls>
            <c:delete val="1"/>
          </c:dLbls>
          <c:cat>
            <c:numRef>
              <c:f>[assignment2.xlsx]Sheet1!$A$2:$A$6</c:f>
              <c:numCache>
                <c:formatCode>General</c:formatCode>
                <c:ptCount val="5"/>
                <c:pt idx="0">
                  <c:v>-2</c:v>
                </c:pt>
                <c:pt idx="1">
                  <c:v>-1</c:v>
                </c:pt>
                <c:pt idx="2">
                  <c:v>0</c:v>
                </c:pt>
                <c:pt idx="3">
                  <c:v>1</c:v>
                </c:pt>
                <c:pt idx="4">
                  <c:v>2</c:v>
                </c:pt>
              </c:numCache>
            </c:numRef>
          </c:cat>
          <c:val>
            <c:numRef>
              <c:f>[assignment2.xlsx]Sheet1!$D$2:$D$6</c:f>
              <c:numCache>
                <c:formatCode>General</c:formatCode>
                <c:ptCount val="5"/>
                <c:pt idx="0">
                  <c:v>-2.6037</c:v>
                </c:pt>
                <c:pt idx="1">
                  <c:v>-1.57445</c:v>
                </c:pt>
                <c:pt idx="2">
                  <c:v>-0.6533</c:v>
                </c:pt>
                <c:pt idx="3">
                  <c:v>0.15975</c:v>
                </c:pt>
                <c:pt idx="4">
                  <c:v>0.8647</c:v>
                </c:pt>
              </c:numCache>
            </c:numRef>
          </c:val>
          <c:smooth val="0"/>
        </c:ser>
        <c:dLbls>
          <c:showLegendKey val="0"/>
          <c:showVal val="0"/>
          <c:showCatName val="0"/>
          <c:showSerName val="0"/>
          <c:showPercent val="0"/>
          <c:showBubbleSize val="0"/>
        </c:dLbls>
        <c:marker val="0"/>
        <c:smooth val="0"/>
        <c:axId val="250730117"/>
        <c:axId val="857159540"/>
        <c:extLst>
          <c:ext xmlns:c15="http://schemas.microsoft.com/office/drawing/2012/chart" uri="{02D57815-91ED-43cb-92C2-25804820EDAC}">
            <c15:filteredLineSeries>
              <c15:ser>
                <c:idx val="0"/>
                <c:order val="0"/>
                <c:tx>
                  <c:strRef>
                    <c:extLst>
                      <c:ext uri="{02D57815-91ED-43cb-92C2-25804820EDAC}">
                        <c15:formulaRef>
                          <c15:sqref>[assignment2.xlsx]Sheet1!$A$1</c15:sqref>
                        </c15:formulaRef>
                      </c:ext>
                    </c:extLst>
                    <c:strCache>
                      <c:ptCount val="1"/>
                      <c:pt idx="0">
                        <c:v>YEAR</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[assignment2.xlsx]Sheet1!$A$2:$A$6</c15:sqref>
                        </c15:formulaRef>
                      </c:ext>
                    </c:extLst>
                    <c:numCache>
                      <c:formatCode>General</c:formatCode>
                      <c:ptCount val="5"/>
                      <c:pt idx="0">
                        <c:v>-2</c:v>
                      </c:pt>
                      <c:pt idx="1">
                        <c:v>-1</c:v>
                      </c:pt>
                      <c:pt idx="2">
                        <c:v>0</c:v>
                      </c:pt>
                      <c:pt idx="3">
                        <c:v>1</c:v>
                      </c:pt>
                      <c:pt idx="4">
                        <c:v>2</c:v>
                      </c:pt>
                    </c:numCache>
                  </c:numRef>
                </c:cat>
                <c:val>
                  <c:numRef>
                    <c:extLst>
                      <c:ext uri="{02D57815-91ED-43cb-92C2-25804820EDAC}">
                        <c15:formulaRef>
                          <c15:sqref>{-2,-1,0,1,2}</c15:sqref>
                        </c15:formulaRef>
                      </c:ext>
                    </c:extLst>
                    <c:numCache>
                      <c:formatCode>General</c:formatCode>
                      <c:ptCount val="5"/>
                      <c:pt idx="0">
                        <c:v>-2</c:v>
                      </c:pt>
                      <c:pt idx="1">
                        <c:v>-1</c:v>
                      </c:pt>
                      <c:pt idx="2">
                        <c:v>0</c:v>
                      </c:pt>
                      <c:pt idx="3">
                        <c:v>1</c:v>
                      </c:pt>
                      <c:pt idx="4">
                        <c:v>2</c:v>
                      </c:pt>
                    </c:numCache>
                  </c:numRef>
                </c:val>
                <c:smooth val="0"/>
              </c15:ser>
            </c15:filteredLineSeries>
          </c:ext>
        </c:extLst>
      </c:lineChart>
      <c:catAx>
        <c:axId val="25073011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57159540"/>
        <c:crosses val="autoZero"/>
        <c:auto val="1"/>
        <c:lblAlgn val="ctr"/>
        <c:lblOffset val="100"/>
        <c:noMultiLvlLbl val="0"/>
      </c:catAx>
      <c:valAx>
        <c:axId val="85715954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0730117"/>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a306e35-2f2c-4308-8a6a-af2bdabdeb5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D433-71BB-4949-8DEC-BA06CA7D0811}">
  <ds:schemaRefs/>
</ds:datastoreItem>
</file>

<file path=docProps/app.xml><?xml version="1.0" encoding="utf-8"?>
<Properties xmlns="http://schemas.openxmlformats.org/officeDocument/2006/extended-properties" xmlns:vt="http://schemas.openxmlformats.org/officeDocument/2006/docPropsVTypes">
  <Template>Normal</Template>
  <Pages>21</Pages>
  <Words>474</Words>
  <Characters>1595</Characters>
  <Lines>242</Lines>
  <Paragraphs>68</Paragraphs>
  <TotalTime>2</TotalTime>
  <ScaleCrop>false</ScaleCrop>
  <LinksUpToDate>false</LinksUpToDate>
  <CharactersWithSpaces>1888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2026-04-29T17:37:00Z</dcterms:created>
  <dc:creator>Isabella Kelly</dc:creator>
  <cp:lastModifiedBy>loomboo</cp:lastModifiedBy>
  <dcterms:modified xsi:type="dcterms:W3CDTF">2026-04-29T18:44:21Z</dcterms:modified>
  <dc:title>assignment 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KSOTemplateDocerSaveRecord">
    <vt:lpwstr>eyJoZGlkIjoiMmVhODY3YWJhZmRmOTM1OTc4OWI5MDc0OTk1N2NhODMiLCJ1c2VySWQiOiIyNDYyMzc4NjcifQ==</vt:lpwstr>
  </property>
  <property fmtid="{D5CDD505-2E9C-101B-9397-08002B2CF9AE}" pid="10" name="KSOProductBuildVer">
    <vt:lpwstr>2052-12.1.0.25865</vt:lpwstr>
  </property>
  <property fmtid="{D5CDD505-2E9C-101B-9397-08002B2CF9AE}" pid="11" name="ICV">
    <vt:lpwstr>9B132C332A3A4DBD9601483F8D012CB3_12</vt:lpwstr>
  </property>
</Properties>
</file>