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B91D9">
      <w:pPr>
        <w:rPr>
          <w:rFonts w:hint="eastAsia"/>
        </w:rPr>
      </w:pPr>
    </w:p>
    <w:p w14:paraId="4C294A54">
      <w:pPr>
        <w:rPr>
          <w:rFonts w:hint="eastAsia"/>
        </w:rPr>
      </w:pPr>
      <w:r>
        <w:rPr>
          <w:rFonts w:hint="eastAsia"/>
        </w:rPr>
        <w:t xml:space="preserve">                      LEVEL-1 DESCRIPTIVE STATISTICS</w:t>
      </w:r>
    </w:p>
    <w:p w14:paraId="6BE6E537">
      <w:pPr>
        <w:rPr>
          <w:rFonts w:hint="eastAsia"/>
        </w:rPr>
      </w:pPr>
    </w:p>
    <w:p w14:paraId="3E05B747">
      <w:pPr>
        <w:rPr>
          <w:rFonts w:hint="eastAsia"/>
        </w:rPr>
      </w:pPr>
      <w:r>
        <w:rPr>
          <w:rFonts w:hint="eastAsia"/>
        </w:rPr>
        <w:t xml:space="preserve"> VARIABLE NAME       N       MEAN         SD         MINIMUM      MAXIMUM</w:t>
      </w:r>
    </w:p>
    <w:p w14:paraId="787A3ECF">
      <w:pPr>
        <w:rPr>
          <w:rFonts w:hint="eastAsia"/>
        </w:rPr>
      </w:pPr>
      <w:r>
        <w:rPr>
          <w:rFonts w:hint="eastAsia"/>
        </w:rPr>
        <w:t xml:space="preserve">      YEAR          7230       0.38       1.39        -2.50         2.50</w:t>
      </w:r>
    </w:p>
    <w:p w14:paraId="3BC8920D">
      <w:pPr>
        <w:rPr>
          <w:rFonts w:hint="eastAsia"/>
        </w:rPr>
      </w:pPr>
      <w:r>
        <w:rPr>
          <w:rFonts w:hint="eastAsia"/>
        </w:rPr>
        <w:t xml:space="preserve">      MATH          7230      -0.54       1.53        -5.22         5.77</w:t>
      </w:r>
    </w:p>
    <w:p w14:paraId="711FF40E">
      <w:pPr>
        <w:rPr>
          <w:rFonts w:hint="eastAsia"/>
        </w:rPr>
      </w:pPr>
      <w:r>
        <w:rPr>
          <w:rFonts w:hint="eastAsia"/>
        </w:rPr>
        <w:t xml:space="preserve">    YEARSQ          7230       2.09       2.15         0.25         6.25</w:t>
      </w:r>
    </w:p>
    <w:p w14:paraId="6779E3A0">
      <w:pPr>
        <w:rPr>
          <w:rFonts w:hint="eastAsia"/>
        </w:rPr>
      </w:pPr>
    </w:p>
    <w:p w14:paraId="7F48B263">
      <w:pPr>
        <w:rPr>
          <w:rFonts w:hint="eastAsia"/>
        </w:rPr>
      </w:pPr>
    </w:p>
    <w:p w14:paraId="0F9CD531">
      <w:pPr>
        <w:rPr>
          <w:rFonts w:hint="eastAsia"/>
        </w:rPr>
      </w:pPr>
      <w:r>
        <w:rPr>
          <w:rFonts w:hint="eastAsia"/>
        </w:rPr>
        <w:t xml:space="preserve">                      LEVEL-2 DESCRIPTIVE STATISTICS</w:t>
      </w:r>
    </w:p>
    <w:p w14:paraId="42707E17">
      <w:pPr>
        <w:rPr>
          <w:rFonts w:hint="eastAsia"/>
        </w:rPr>
      </w:pPr>
    </w:p>
    <w:p w14:paraId="24167DDF">
      <w:pPr>
        <w:rPr>
          <w:rFonts w:hint="eastAsia"/>
        </w:rPr>
      </w:pPr>
      <w:r>
        <w:rPr>
          <w:rFonts w:hint="eastAsia"/>
        </w:rPr>
        <w:t xml:space="preserve"> VARIABLE NAME       N       MEAN         SD         MINIMUM      MAXIMUM</w:t>
      </w:r>
    </w:p>
    <w:p w14:paraId="6385FA50">
      <w:pPr>
        <w:rPr>
          <w:rFonts w:hint="eastAsia"/>
        </w:rPr>
      </w:pPr>
      <w:r>
        <w:rPr>
          <w:rFonts w:hint="eastAsia"/>
        </w:rPr>
        <w:t xml:space="preserve">     BLACK          1721       0.69       0.46         0.00         1.00</w:t>
      </w:r>
    </w:p>
    <w:p w14:paraId="41FD7321">
      <w:pPr>
        <w:rPr>
          <w:rFonts w:hint="eastAsia"/>
        </w:rPr>
      </w:pPr>
      <w:r>
        <w:rPr>
          <w:rFonts w:hint="eastAsia"/>
        </w:rPr>
        <w:t xml:space="preserve">  HISPANIC          1721       0.15       0.35         0.00         1.00</w:t>
      </w:r>
    </w:p>
    <w:p w14:paraId="7790B6A1">
      <w:pPr>
        <w:rPr>
          <w:rFonts w:hint="eastAsia"/>
        </w:rPr>
      </w:pPr>
    </w:p>
    <w:p w14:paraId="6642251E">
      <w:pPr>
        <w:rPr>
          <w:rFonts w:hint="eastAsia"/>
        </w:rPr>
      </w:pPr>
    </w:p>
    <w:p w14:paraId="51C48444">
      <w:pPr>
        <w:rPr>
          <w:rFonts w:hint="eastAsia"/>
        </w:rPr>
      </w:pPr>
      <w:r>
        <w:rPr>
          <w:rFonts w:hint="eastAsia"/>
        </w:rPr>
        <w:t xml:space="preserve">                      LEVEL-3 DESCRIPTIVE STATISTICS</w:t>
      </w:r>
    </w:p>
    <w:p w14:paraId="3B9A8A7A">
      <w:pPr>
        <w:rPr>
          <w:rFonts w:hint="eastAsia"/>
        </w:rPr>
      </w:pPr>
    </w:p>
    <w:p w14:paraId="4F8866C6">
      <w:pPr>
        <w:rPr>
          <w:rFonts w:hint="eastAsia"/>
        </w:rPr>
      </w:pPr>
      <w:r>
        <w:rPr>
          <w:rFonts w:hint="eastAsia"/>
        </w:rPr>
        <w:t xml:space="preserve"> VARIABLE NAME       N       MEAN         SD         MINIMUM      MAXIMUM</w:t>
      </w:r>
    </w:p>
    <w:p w14:paraId="0BAB4C4E">
      <w:pPr>
        <w:rPr>
          <w:rFonts w:hint="eastAsia"/>
        </w:rPr>
      </w:pPr>
      <w:r>
        <w:rPr>
          <w:rFonts w:hint="eastAsia"/>
        </w:rPr>
        <w:t xml:space="preserve">    LOWINC            60      73.74      27.27         0.00       100.00</w:t>
      </w:r>
    </w:p>
    <w:p w14:paraId="7959FEF8">
      <w:pPr>
        <w:rPr>
          <w:rFonts w:hint="eastAsia"/>
        </w:rPr>
      </w:pPr>
    </w:p>
    <w:p w14:paraId="3BBC7E9E">
      <w:pPr>
        <w:rPr>
          <w:rFonts w:hint="eastAsia"/>
        </w:rPr>
      </w:pPr>
    </w:p>
    <w:p w14:paraId="7E44B7D2">
      <w:pPr>
        <w:rPr>
          <w:rFonts w:hint="eastAsia"/>
          <w:b/>
          <w:bCs/>
          <w:lang w:val="en-US" w:eastAsia="zh-CN"/>
        </w:rPr>
      </w:pPr>
      <w:r>
        <w:rPr>
          <w:rFonts w:hint="eastAsia"/>
          <w:b/>
          <w:bCs/>
          <w:lang w:val="en-US" w:eastAsia="zh-CN"/>
        </w:rPr>
        <w:t>PartA</w:t>
      </w:r>
    </w:p>
    <w:p w14:paraId="61C0AF76">
      <w:pPr>
        <w:numPr>
          <w:ilvl w:val="0"/>
          <w:numId w:val="1"/>
        </w:numPr>
        <w:rPr>
          <w:rFonts w:hint="default"/>
          <w:lang w:val="en-US" w:eastAsia="zh-CN"/>
        </w:rPr>
      </w:pPr>
      <w:r>
        <w:rPr>
          <w:rFonts w:hint="eastAsia"/>
          <w:b/>
          <w:bCs/>
          <w:lang w:val="en-US" w:eastAsia="zh-CN"/>
        </w:rPr>
        <w:t>Three-level model</w:t>
      </w:r>
    </w:p>
    <w:p w14:paraId="5951D30F">
      <w:pPr>
        <w:numPr>
          <w:ilvl w:val="0"/>
          <w:numId w:val="0"/>
        </w:numPr>
      </w:pPr>
      <w:r>
        <w:drawing>
          <wp:inline distT="0" distB="0" distL="114300" distR="114300">
            <wp:extent cx="5270500" cy="5670550"/>
            <wp:effectExtent l="0" t="0" r="0" b="635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4"/>
                    <a:stretch>
                      <a:fillRect/>
                    </a:stretch>
                  </pic:blipFill>
                  <pic:spPr>
                    <a:xfrm>
                      <a:off x="0" y="0"/>
                      <a:ext cx="5270500" cy="5670550"/>
                    </a:xfrm>
                    <a:prstGeom prst="rect">
                      <a:avLst/>
                    </a:prstGeom>
                    <a:noFill/>
                    <a:ln>
                      <a:noFill/>
                    </a:ln>
                  </pic:spPr>
                </pic:pic>
              </a:graphicData>
            </a:graphic>
          </wp:inline>
        </w:drawing>
      </w:r>
    </w:p>
    <w:p w14:paraId="478B3E97">
      <w:pPr>
        <w:numPr>
          <w:ilvl w:val="0"/>
          <w:numId w:val="0"/>
        </w:numPr>
      </w:pPr>
    </w:p>
    <w:p w14:paraId="49793EB4">
      <w:pPr>
        <w:numPr>
          <w:ilvl w:val="0"/>
          <w:numId w:val="0"/>
        </w:numPr>
      </w:pPr>
    </w:p>
    <w:p w14:paraId="03FCF215">
      <w:pPr>
        <w:numPr>
          <w:ilvl w:val="0"/>
          <w:numId w:val="1"/>
        </w:numPr>
        <w:rPr>
          <w:rFonts w:hint="eastAsia"/>
          <w:b/>
          <w:bCs/>
          <w:lang w:val="en-US" w:eastAsia="zh-CN"/>
        </w:rPr>
      </w:pPr>
      <w:r>
        <w:rPr>
          <w:rFonts w:hint="eastAsia"/>
          <w:b/>
          <w:bCs/>
          <w:lang w:val="en-US" w:eastAsia="zh-CN"/>
        </w:rPr>
        <w:t>see ethnic differences in achievement?</w:t>
      </w:r>
    </w:p>
    <w:p w14:paraId="26CE81C1">
      <w:pPr>
        <w:numPr>
          <w:numId w:val="0"/>
        </w:numPr>
        <w:rPr>
          <w:rFonts w:hint="eastAsia"/>
          <w:lang w:val="en-US" w:eastAsia="zh-CN"/>
        </w:rPr>
      </w:pPr>
      <w:r>
        <w:drawing>
          <wp:inline distT="0" distB="0" distL="114300" distR="114300">
            <wp:extent cx="3963670" cy="4465320"/>
            <wp:effectExtent l="0" t="0" r="11430" b="508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5"/>
                    <a:stretch>
                      <a:fillRect/>
                    </a:stretch>
                  </pic:blipFill>
                  <pic:spPr>
                    <a:xfrm>
                      <a:off x="0" y="0"/>
                      <a:ext cx="3963670" cy="4465320"/>
                    </a:xfrm>
                    <a:prstGeom prst="rect">
                      <a:avLst/>
                    </a:prstGeom>
                    <a:noFill/>
                    <a:ln>
                      <a:noFill/>
                    </a:ln>
                  </pic:spPr>
                </pic:pic>
              </a:graphicData>
            </a:graphic>
          </wp:inline>
        </w:drawing>
      </w:r>
    </w:p>
    <w:p w14:paraId="4C6A4F5D">
      <w:pPr>
        <w:numPr>
          <w:ilvl w:val="0"/>
          <w:numId w:val="0"/>
        </w:numPr>
        <w:rPr>
          <w:rFonts w:hint="eastAsia"/>
          <w:lang w:val="en-US" w:eastAsia="zh-CN"/>
        </w:rPr>
      </w:pPr>
      <w:r>
        <w:drawing>
          <wp:inline distT="0" distB="0" distL="114300" distR="114300">
            <wp:extent cx="3760470" cy="3696335"/>
            <wp:effectExtent l="0" t="0" r="11430" b="1206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6"/>
                    <a:stretch>
                      <a:fillRect/>
                    </a:stretch>
                  </pic:blipFill>
                  <pic:spPr>
                    <a:xfrm>
                      <a:off x="0" y="0"/>
                      <a:ext cx="3760470" cy="3696335"/>
                    </a:xfrm>
                    <a:prstGeom prst="rect">
                      <a:avLst/>
                    </a:prstGeom>
                    <a:noFill/>
                    <a:ln>
                      <a:noFill/>
                    </a:ln>
                  </pic:spPr>
                </pic:pic>
              </a:graphicData>
            </a:graphic>
          </wp:inline>
        </w:drawing>
      </w:r>
    </w:p>
    <w:p w14:paraId="7F1895A5">
      <w:pPr>
        <w:numPr>
          <w:ilvl w:val="0"/>
          <w:numId w:val="0"/>
        </w:numPr>
        <w:rPr>
          <w:rFonts w:hint="eastAsia"/>
          <w:lang w:val="en-US" w:eastAsia="zh-CN"/>
        </w:rPr>
      </w:pPr>
    </w:p>
    <w:p w14:paraId="79EBA500">
      <w:pPr>
        <w:numPr>
          <w:ilvl w:val="0"/>
          <w:numId w:val="0"/>
        </w:numPr>
        <w:rPr>
          <w:rFonts w:hint="eastAsia"/>
          <w:lang w:val="en-US" w:eastAsia="zh-CN"/>
        </w:rPr>
      </w:pPr>
      <w:r>
        <w:rPr>
          <w:rFonts w:hint="eastAsia"/>
          <w:lang w:val="en-US" w:eastAsia="zh-CN"/>
        </w:rPr>
        <w:t>White students’ predicted math score at spring of first grade is -0.262. Black and Hispanic students begin significantly below white students, by about 0.618 and 0.392 points respectively.White students’ math achievement increases over time, but the negative quadratic term shows that growth slows over time. Black students have a significantly lower linear growth rate than white students, by about 0.067 points per year.Hispanic students’ linear growth rate is not significantly different from white students, same with Black and Hispanic quadratic differences.</w:t>
      </w:r>
    </w:p>
    <w:p w14:paraId="660FC22B">
      <w:pPr>
        <w:numPr>
          <w:ilvl w:val="0"/>
          <w:numId w:val="0"/>
        </w:numPr>
        <w:rPr>
          <w:rFonts w:hint="eastAsia" w:ascii="宋体" w:hAnsi="宋体" w:eastAsia="宋体" w:cs="宋体"/>
          <w:sz w:val="24"/>
          <w:szCs w:val="24"/>
          <w:lang w:val="en-US" w:eastAsia="zh-CN"/>
        </w:rPr>
      </w:pPr>
    </w:p>
    <w:p w14:paraId="1FBED5C9">
      <w:pPr>
        <w:numPr>
          <w:ilvl w:val="0"/>
          <w:numId w:val="1"/>
        </w:numPr>
        <w:ind w:left="0" w:leftChars="0" w:firstLine="0" w:firstLineChars="0"/>
        <w:rPr>
          <w:rFonts w:hint="eastAsia"/>
          <w:b/>
          <w:bCs/>
          <w:lang w:val="en-US" w:eastAsia="zh-CN"/>
        </w:rPr>
      </w:pPr>
      <w:r>
        <w:rPr>
          <w:rFonts w:hint="eastAsia"/>
          <w:b/>
          <w:bCs/>
          <w:lang w:val="en-US" w:eastAsia="zh-CN"/>
        </w:rPr>
        <w:t>Create a model graph of the average trajectories</w:t>
      </w:r>
    </w:p>
    <w:p w14:paraId="66FBF8F8">
      <w:pPr>
        <w:numPr>
          <w:numId w:val="0"/>
        </w:numPr>
        <w:ind w:leftChars="0"/>
        <w:rPr>
          <w:rFonts w:hint="eastAsia"/>
          <w:b/>
          <w:bCs/>
          <w:lang w:val="en-US" w:eastAsia="zh-CN"/>
        </w:rPr>
      </w:pPr>
      <w:r>
        <w:drawing>
          <wp:inline distT="0" distB="0" distL="114300" distR="114300">
            <wp:extent cx="4826000" cy="2743200"/>
            <wp:effectExtent l="4445" t="4445" r="8255" b="8255"/>
            <wp:docPr id="11"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04964D1">
      <w:pPr>
        <w:numPr>
          <w:ilvl w:val="0"/>
          <w:numId w:val="0"/>
        </w:numPr>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Math achievement increases over time, as indicated by the positive coefficient for YEAR (γ100= 0.797).</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However, the negative coefficient for YEARSQ (γ200= -0.043) suggests that the growth rate slows down over time.</w:t>
      </w:r>
    </w:p>
    <w:p w14:paraId="6975D778">
      <w:pPr>
        <w:numPr>
          <w:ilvl w:val="0"/>
          <w:numId w:val="0"/>
        </w:numPr>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This implies a concave (inverted-U) trajectory, where achievement increases initially but at a decreasing rate.</w:t>
      </w:r>
    </w:p>
    <w:p w14:paraId="17C8B4D4">
      <w:pPr>
        <w:numPr>
          <w:ilvl w:val="0"/>
          <w:numId w:val="0"/>
        </w:numPr>
        <w:rPr>
          <w:rFonts w:hint="eastAsia"/>
          <w:lang w:val="en-US" w:eastAsia="zh-CN"/>
        </w:rPr>
      </w:pPr>
    </w:p>
    <w:p w14:paraId="02A04F4E">
      <w:pPr>
        <w:bidi w:val="0"/>
        <w:rPr>
          <w:rFonts w:hint="eastAsia" w:asciiTheme="minorHAnsi" w:hAnsiTheme="minorHAnsi" w:eastAsiaTheme="minorEastAsia" w:cstheme="minorBidi"/>
          <w:b/>
          <w:bCs/>
          <w:kern w:val="0"/>
          <w:sz w:val="24"/>
          <w:szCs w:val="24"/>
          <w:lang w:val="en-US" w:eastAsia="zh-CN" w:bidi="ar"/>
        </w:rPr>
      </w:pPr>
      <w:r>
        <w:rPr>
          <w:rFonts w:hint="eastAsia" w:asciiTheme="minorHAnsi" w:hAnsiTheme="minorHAnsi" w:eastAsiaTheme="minorEastAsia" w:cstheme="minorBidi"/>
          <w:b/>
          <w:bCs/>
          <w:kern w:val="0"/>
          <w:sz w:val="24"/>
          <w:szCs w:val="24"/>
          <w:lang w:val="en-US" w:eastAsia="zh-CN" w:bidi="ar"/>
        </w:rPr>
        <w:t>4.Why only 3 random effects?</w:t>
      </w:r>
    </w:p>
    <w:p w14:paraId="0E7BB269">
      <w:pPr>
        <w:bidi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The model includes three random effects corresponding to the intercept, linear growth, and quadratic growth terms.</w:t>
      </w:r>
      <w:r>
        <w:rPr>
          <w:rFonts w:hint="eastAsia" w:cstheme="minorBidi"/>
          <w:kern w:val="0"/>
          <w:sz w:val="24"/>
          <w:szCs w:val="24"/>
          <w:lang w:val="en-US" w:eastAsia="zh-CN" w:bidi="ar"/>
        </w:rPr>
        <w:t xml:space="preserve"> </w:t>
      </w:r>
      <w:r>
        <w:rPr>
          <w:rFonts w:hint="eastAsia" w:asciiTheme="minorHAnsi" w:hAnsiTheme="minorHAnsi" w:eastAsiaTheme="minorEastAsia" w:cstheme="minorBidi"/>
          <w:kern w:val="0"/>
          <w:sz w:val="24"/>
          <w:szCs w:val="24"/>
          <w:lang w:val="en-US" w:eastAsia="zh-CN" w:bidi="ar"/>
        </w:rPr>
        <w:t>Only these three random effects are included because the variance structure allows variability in these components across higher-level units.</w:t>
      </w:r>
    </w:p>
    <w:p w14:paraId="58EF14A2">
      <w:pPr>
        <w:bidi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 xml:space="preserve">The coefficients associated with race (BLACK and HISPANIC) are treated as fixed effects, </w:t>
      </w:r>
      <w:r>
        <w:rPr>
          <w:rFonts w:hint="eastAsia" w:cstheme="minorBidi"/>
          <w:kern w:val="0"/>
          <w:sz w:val="24"/>
          <w:szCs w:val="24"/>
          <w:lang w:val="en-US" w:eastAsia="zh-CN" w:bidi="ar"/>
        </w:rPr>
        <w:t xml:space="preserve">which means </w:t>
      </w:r>
      <w:r>
        <w:rPr>
          <w:rFonts w:hint="eastAsia" w:asciiTheme="minorHAnsi" w:hAnsiTheme="minorHAnsi" w:eastAsiaTheme="minorEastAsia" w:cstheme="minorBidi"/>
          <w:kern w:val="0"/>
          <w:sz w:val="24"/>
          <w:szCs w:val="24"/>
          <w:lang w:val="en-US" w:eastAsia="zh-CN" w:bidi="ar"/>
        </w:rPr>
        <w:t>their effects are assumed to be constant across contexts.</w:t>
      </w:r>
      <w:r>
        <w:rPr>
          <w:rFonts w:hint="eastAsia" w:cstheme="minorBidi"/>
          <w:kern w:val="0"/>
          <w:sz w:val="24"/>
          <w:szCs w:val="24"/>
          <w:lang w:val="en-US" w:eastAsia="zh-CN" w:bidi="ar"/>
        </w:rPr>
        <w:t xml:space="preserve"> </w:t>
      </w:r>
      <w:r>
        <w:rPr>
          <w:rFonts w:hint="eastAsia" w:asciiTheme="minorHAnsi" w:hAnsiTheme="minorHAnsi" w:eastAsiaTheme="minorEastAsia" w:cstheme="minorBidi"/>
          <w:kern w:val="0"/>
          <w:sz w:val="24"/>
          <w:szCs w:val="24"/>
          <w:lang w:val="en-US" w:eastAsia="zh-CN" w:bidi="ar"/>
        </w:rPr>
        <w:t>Additionally, due to model specification constraints, not all coefficients can be modeled as random simultaneously.</w:t>
      </w:r>
    </w:p>
    <w:p w14:paraId="46D62D6C">
      <w:pPr>
        <w:numPr>
          <w:ilvl w:val="0"/>
          <w:numId w:val="0"/>
        </w:numPr>
        <w:ind w:leftChars="0"/>
        <w:rPr>
          <w:rFonts w:hint="default" w:asciiTheme="minorHAnsi" w:hAnsiTheme="minorHAnsi" w:eastAsiaTheme="minorEastAsia" w:cstheme="minorBidi"/>
          <w:kern w:val="0"/>
          <w:sz w:val="24"/>
          <w:szCs w:val="24"/>
          <w:lang w:val="en-US" w:eastAsia="zh-CN" w:bidi="ar"/>
        </w:rPr>
      </w:pPr>
    </w:p>
    <w:p w14:paraId="70769E73">
      <w:pPr>
        <w:bidi w:val="0"/>
        <w:rPr>
          <w:rFonts w:hint="eastAsia" w:asciiTheme="minorHAnsi" w:hAnsiTheme="minorHAnsi" w:eastAsiaTheme="minorEastAsia" w:cstheme="minorBidi"/>
          <w:b/>
          <w:bCs/>
          <w:kern w:val="0"/>
          <w:sz w:val="24"/>
          <w:szCs w:val="24"/>
          <w:lang w:val="en-US" w:eastAsia="zh-CN" w:bidi="ar"/>
        </w:rPr>
      </w:pPr>
      <w:r>
        <w:rPr>
          <w:rFonts w:hint="eastAsia" w:asciiTheme="minorHAnsi" w:hAnsiTheme="minorHAnsi" w:eastAsiaTheme="minorEastAsia" w:cstheme="minorBidi"/>
          <w:b/>
          <w:bCs/>
          <w:kern w:val="0"/>
          <w:sz w:val="24"/>
          <w:szCs w:val="24"/>
          <w:lang w:val="en-US" w:eastAsia="zh-CN" w:bidi="ar"/>
        </w:rPr>
        <w:t>5.Construct a 95% interval for intercept</w:t>
      </w:r>
    </w:p>
    <w:p w14:paraId="4788BC00">
      <w:pPr>
        <w:bidi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Child-level white achievement:</w:t>
      </w:r>
      <w:r>
        <w:rPr>
          <w:rFonts w:hint="eastAsia" w:cstheme="minorBidi"/>
          <w:kern w:val="0"/>
          <w:sz w:val="24"/>
          <w:szCs w:val="24"/>
          <w:lang w:val="en-US" w:eastAsia="zh-CN" w:bidi="ar"/>
        </w:rPr>
        <w:t xml:space="preserve"> </w:t>
      </w:r>
      <w:r>
        <w:rPr>
          <w:rFonts w:hint="eastAsia" w:asciiTheme="minorHAnsi" w:hAnsiTheme="minorHAnsi" w:eastAsiaTheme="minorEastAsia" w:cstheme="minorBidi"/>
          <w:kern w:val="0"/>
          <w:sz w:val="24"/>
          <w:szCs w:val="24"/>
          <w:lang w:val="en-US" w:eastAsia="zh-CN" w:bidi="ar"/>
        </w:rPr>
        <w:t>−0.2938±1.96×0.86125=(−1.95, 1.43)</w:t>
      </w:r>
    </w:p>
    <w:p w14:paraId="173DF948">
      <w:pPr>
        <w:bidi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School-level white achievement:</w:t>
      </w:r>
      <w:r>
        <w:rPr>
          <w:rFonts w:hint="eastAsia" w:cstheme="minorBidi"/>
          <w:kern w:val="0"/>
          <w:sz w:val="24"/>
          <w:szCs w:val="24"/>
          <w:lang w:val="en-US" w:eastAsia="zh-CN" w:bidi="ar"/>
        </w:rPr>
        <w:t xml:space="preserve"> </w:t>
      </w:r>
      <w:r>
        <w:rPr>
          <w:rFonts w:hint="eastAsia" w:asciiTheme="minorHAnsi" w:hAnsiTheme="minorHAnsi" w:eastAsiaTheme="minorEastAsia" w:cstheme="minorBidi"/>
          <w:kern w:val="0"/>
          <w:sz w:val="24"/>
          <w:szCs w:val="24"/>
          <w:lang w:val="en-US" w:eastAsia="zh-CN" w:bidi="ar"/>
        </w:rPr>
        <w:t>−0.2615±1.96(0.35297)=(−0.95, 0.43)</w:t>
      </w:r>
    </w:p>
    <w:p w14:paraId="11824780">
      <w:pPr>
        <w:bidi w:val="0"/>
        <w:rPr>
          <w:rFonts w:hint="eastAsia" w:asciiTheme="minorHAnsi" w:hAnsiTheme="minorHAnsi" w:eastAsiaTheme="minorEastAsia" w:cstheme="minorBidi"/>
          <w:kern w:val="0"/>
          <w:sz w:val="24"/>
          <w:szCs w:val="24"/>
          <w:lang w:val="en-US" w:eastAsia="zh-CN" w:bidi="ar"/>
        </w:rPr>
      </w:pPr>
    </w:p>
    <w:p w14:paraId="4842B069">
      <w:pPr>
        <w:bidi w:val="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For white students,</w:t>
      </w:r>
      <w:r>
        <w:rPr>
          <w:rFonts w:hint="eastAsia" w:cstheme="minorBidi"/>
          <w:kern w:val="0"/>
          <w:sz w:val="24"/>
          <w:szCs w:val="24"/>
          <w:lang w:val="en-US" w:eastAsia="zh-CN" w:bidi="ar"/>
        </w:rPr>
        <w:t xml:space="preserve"> </w:t>
      </w:r>
      <w:bookmarkStart w:id="0" w:name="_GoBack"/>
      <w:bookmarkEnd w:id="0"/>
      <w:r>
        <w:rPr>
          <w:rFonts w:hint="eastAsia" w:asciiTheme="minorHAnsi" w:hAnsiTheme="minorHAnsi" w:eastAsiaTheme="minorEastAsia" w:cstheme="minorBidi"/>
          <w:kern w:val="0"/>
          <w:sz w:val="24"/>
          <w:szCs w:val="24"/>
          <w:lang w:val="en-US" w:eastAsia="zh-CN" w:bidi="ar"/>
        </w:rPr>
        <w:t>within schools, most white students</w:t>
      </w:r>
      <w:r>
        <w:rPr>
          <w:rFonts w:hint="default" w:asciiTheme="minorHAnsi" w:hAnsiTheme="minorHAnsi" w:eastAsiaTheme="minorEastAsia" w:cstheme="minorBidi"/>
          <w:kern w:val="0"/>
          <w:sz w:val="24"/>
          <w:szCs w:val="24"/>
          <w:lang w:val="en-US" w:eastAsia="zh-CN" w:bidi="ar"/>
        </w:rPr>
        <w:t>’</w:t>
      </w:r>
      <w:r>
        <w:rPr>
          <w:rFonts w:hint="eastAsia" w:asciiTheme="minorHAnsi" w:hAnsiTheme="minorHAnsi" w:eastAsiaTheme="minorEastAsia" w:cstheme="minorBidi"/>
          <w:kern w:val="0"/>
          <w:sz w:val="24"/>
          <w:szCs w:val="24"/>
          <w:lang w:val="en-US" w:eastAsia="zh-CN" w:bidi="ar"/>
        </w:rPr>
        <w:t xml:space="preserve"> predicted initial math achievement falls in this range. The 95% plausible value interval for school-level white initial achievement means most schools</w:t>
      </w:r>
      <w:r>
        <w:rPr>
          <w:rFonts w:hint="default" w:cstheme="minorBidi"/>
          <w:kern w:val="0"/>
          <w:sz w:val="24"/>
          <w:szCs w:val="24"/>
          <w:lang w:val="en-US" w:eastAsia="zh-CN" w:bidi="ar"/>
        </w:rPr>
        <w:t>’</w:t>
      </w:r>
      <w:r>
        <w:rPr>
          <w:rFonts w:hint="eastAsia" w:asciiTheme="minorHAnsi" w:hAnsiTheme="minorHAnsi" w:eastAsiaTheme="minorEastAsia" w:cstheme="minorBidi"/>
          <w:kern w:val="0"/>
          <w:sz w:val="24"/>
          <w:szCs w:val="24"/>
          <w:lang w:val="en-US" w:eastAsia="zh-CN" w:bidi="ar"/>
        </w:rPr>
        <w:t>average initial achievement for white students falls in (−0.95, 0.43).</w:t>
      </w:r>
    </w:p>
    <w:p w14:paraId="21D16BFC">
      <w:pPr>
        <w:bidi w:val="0"/>
        <w:rPr>
          <w:rFonts w:hint="eastAsia" w:asciiTheme="minorHAnsi" w:hAnsiTheme="minorHAnsi" w:eastAsiaTheme="minorEastAsia" w:cstheme="minorBidi"/>
          <w:kern w:val="0"/>
          <w:sz w:val="24"/>
          <w:szCs w:val="24"/>
          <w:lang w:val="en-US" w:eastAsia="zh-CN" w:bidi="ar"/>
        </w:rPr>
      </w:pPr>
    </w:p>
    <w:p w14:paraId="35EC21E2">
      <w:pPr>
        <w:numPr>
          <w:ilvl w:val="0"/>
          <w:numId w:val="0"/>
        </w:numPr>
        <w:rPr>
          <w:rFonts w:hint="eastAsia" w:asciiTheme="minorHAnsi" w:hAnsiTheme="minorHAnsi" w:eastAsiaTheme="minorEastAsia" w:cstheme="minorBidi"/>
          <w:b/>
          <w:bCs/>
          <w:kern w:val="0"/>
          <w:sz w:val="24"/>
          <w:szCs w:val="24"/>
          <w:lang w:val="en-US" w:eastAsia="zh-CN" w:bidi="ar"/>
        </w:rPr>
      </w:pPr>
      <w:r>
        <w:rPr>
          <w:rFonts w:hint="eastAsia" w:asciiTheme="minorHAnsi" w:hAnsiTheme="minorHAnsi" w:eastAsiaTheme="minorEastAsia" w:cstheme="minorBidi"/>
          <w:b/>
          <w:bCs/>
          <w:kern w:val="0"/>
          <w:sz w:val="24"/>
          <w:szCs w:val="24"/>
          <w:lang w:val="en-US" w:eastAsia="zh-CN" w:bidi="ar"/>
        </w:rPr>
        <w:t>6.</w:t>
      </w:r>
    </w:p>
    <w:p w14:paraId="04BC8498">
      <w:pPr>
        <w:bidi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Revised Level-3 model with LOWINC</w:t>
      </w:r>
    </w:p>
    <w:p w14:paraId="59498972">
      <w:pPr>
        <w:bidi w:val="0"/>
        <w:rPr>
          <w:rFonts w:hint="eastAsia" w:asciiTheme="minorHAnsi" w:hAnsiTheme="minorHAnsi" w:eastAsiaTheme="minorEastAsia" w:cstheme="minorBidi"/>
          <w:kern w:val="0"/>
          <w:sz w:val="24"/>
          <w:szCs w:val="24"/>
          <w:lang w:val="en-US" w:eastAsia="zh-CN" w:bidi="ar"/>
        </w:rPr>
      </w:pPr>
      <m:oMathPara>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β</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00j</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γ</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000</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γ</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001</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LOWIN</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C</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j</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u</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00j</m:t>
              </m:r>
              <m:ctrlPr>
                <w:rPr>
                  <w:rFonts w:ascii="Cambria Math" w:hAnsi="Cambria Math" w:eastAsiaTheme="minorEastAsia" w:cstheme="minorBidi"/>
                  <w:kern w:val="0"/>
                  <w:sz w:val="24"/>
                  <w:szCs w:val="24"/>
                  <w:lang w:val="en-US" w:eastAsia="zh-CN" w:bidi="ar"/>
                </w:rPr>
              </m:ctrlPr>
            </m:sub>
          </m:sSub>
        </m:oMath>
      </m:oMathPara>
    </w:p>
    <w:p w14:paraId="5D6B8A94">
      <w:pPr>
        <w:bidi w:val="0"/>
        <w:rPr>
          <w:rFonts w:hint="eastAsia" w:asciiTheme="minorHAnsi" w:hAnsiTheme="minorHAnsi" w:eastAsiaTheme="minorEastAsia" w:cstheme="minorBidi"/>
          <w:kern w:val="0"/>
          <w:sz w:val="24"/>
          <w:szCs w:val="24"/>
          <w:lang w:val="en-US" w:eastAsia="zh-CN" w:bidi="ar"/>
        </w:rPr>
      </w:pPr>
      <m:oMathPara>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β</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10j</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γ</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100</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γ</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101</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LOWIN</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C</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j</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u</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10j</m:t>
              </m:r>
              <m:ctrlPr>
                <w:rPr>
                  <w:rFonts w:ascii="Cambria Math" w:hAnsi="Cambria Math" w:eastAsiaTheme="minorEastAsia" w:cstheme="minorBidi"/>
                  <w:kern w:val="0"/>
                  <w:sz w:val="24"/>
                  <w:szCs w:val="24"/>
                  <w:lang w:val="en-US" w:eastAsia="zh-CN" w:bidi="ar"/>
                </w:rPr>
              </m:ctrlPr>
            </m:sub>
          </m:sSub>
        </m:oMath>
      </m:oMathPara>
    </w:p>
    <w:p w14:paraId="3916B34E">
      <w:pPr>
        <w:bidi w:val="0"/>
        <w:rPr>
          <w:rFonts w:hint="eastAsia" w:asciiTheme="minorHAnsi" w:hAnsiTheme="minorHAnsi" w:eastAsiaTheme="minorEastAsia" w:cstheme="minorBidi"/>
          <w:kern w:val="0"/>
          <w:sz w:val="24"/>
          <w:szCs w:val="24"/>
          <w:lang w:val="en-US" w:eastAsia="zh-CN" w:bidi="ar"/>
        </w:rPr>
      </w:pPr>
      <m:oMathPara>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β</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20j</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γ</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200</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γ</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201</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LOWIN</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C</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j</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u</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20j</m:t>
              </m:r>
              <m:ctrlPr>
                <w:rPr>
                  <w:rFonts w:ascii="Cambria Math" w:hAnsi="Cambria Math" w:eastAsiaTheme="minorEastAsia" w:cstheme="minorBidi"/>
                  <w:kern w:val="0"/>
                  <w:sz w:val="24"/>
                  <w:szCs w:val="24"/>
                  <w:lang w:val="en-US" w:eastAsia="zh-CN" w:bidi="ar"/>
                </w:rPr>
              </m:ctrlPr>
            </m:sub>
          </m:sSub>
        </m:oMath>
      </m:oMathPara>
    </w:p>
    <w:p w14:paraId="43DE1FFE">
      <w:pPr>
        <w:bidi w:val="0"/>
        <w:rPr>
          <w:rFonts w:hint="eastAsia"/>
          <w:lang w:val="en-US" w:eastAsia="zh-CN"/>
        </w:rPr>
      </w:pPr>
    </w:p>
    <w:p w14:paraId="6DAAAEC6">
      <w:pPr>
        <w:bidi w:val="0"/>
        <w:rPr>
          <w:rFonts w:hint="eastAsia"/>
          <w:lang w:val="en-US" w:eastAsia="zh-CN"/>
        </w:rPr>
      </w:pPr>
      <w:r>
        <w:rPr>
          <w:rFonts w:hint="eastAsia"/>
          <w:lang w:val="en-US" w:eastAsia="zh-CN"/>
        </w:rPr>
        <w:t>The key coefficient for the question is the effect of LOWINC on the linear growth rate</w:t>
      </w:r>
    </w:p>
    <w:p w14:paraId="0270F927">
      <w:pPr>
        <w:numPr>
          <w:ilvl w:val="0"/>
          <w:numId w:val="0"/>
        </w:numPr>
        <w:rPr>
          <w:rFonts w:hint="eastAsia" w:hAnsi="Cambria Math" w:eastAsia="宋体" w:cs="宋体"/>
          <w:i w:val="0"/>
          <w:kern w:val="2"/>
          <w:sz w:val="24"/>
          <w:szCs w:val="24"/>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101</m:t>
              </m:r>
              <m:ctrlPr>
                <w:rPr>
                  <w:rFonts w:ascii="Cambria Math" w:hAnsi="Cambria Math" w:eastAsia="宋体"/>
                  <w:sz w:val="24"/>
                </w:rPr>
              </m:ctrlPr>
            </m:sub>
          </m:sSub>
          <m:r>
            <m:rPr/>
            <w:rPr>
              <w:rFonts w:hint="default" w:ascii="Cambria Math" w:hAnsi="Cambria Math" w:eastAsia="宋体"/>
              <w:sz w:val="24"/>
            </w:rPr>
            <m:t>=−0.001640</m:t>
          </m:r>
        </m:oMath>
      </m:oMathPara>
    </w:p>
    <w:p w14:paraId="40AD03F2">
      <w:pPr>
        <w:pStyle w:val="2"/>
        <w:keepNext w:val="0"/>
        <w:keepLines w:val="0"/>
        <w:widowControl/>
        <w:suppressLineNumbers w:val="0"/>
      </w:pPr>
      <w:r>
        <w:t xml:space="preserve">This coefficient </w:t>
      </w:r>
      <w:r>
        <w:rPr>
          <w:rFonts w:hint="eastAsia"/>
          <w:lang w:val="en-US" w:eastAsia="zh-CN"/>
        </w:rPr>
        <w:t>shows that</w:t>
      </w:r>
      <w:r>
        <w:t xml:space="preserve"> schools with higher poverty concentration have slower math achievement growth. </w:t>
      </w:r>
      <w:r>
        <w:rPr>
          <w:rFonts w:hint="eastAsia"/>
          <w:lang w:val="en-US" w:eastAsia="zh-CN"/>
        </w:rPr>
        <w:t>E</w:t>
      </w:r>
      <w:r>
        <w:t xml:space="preserve">ach one-unit increase in LOWINC is associated with a decrease of about 0.00164 in the expected yearly growth rate, holding other variables constant. This effect is statistically significant, p = </w:t>
      </w:r>
      <w:r>
        <w:rPr>
          <w:rFonts w:hint="eastAsia"/>
          <w:lang w:val="en-US" w:eastAsia="zh-CN"/>
        </w:rPr>
        <w:t>0</w:t>
      </w:r>
      <w:r>
        <w:t>.004, so there is evidence that school poverty concentration predicts children’s math achievement growth rate.</w:t>
      </w:r>
    </w:p>
    <w:p w14:paraId="5076CDF6">
      <w:pPr>
        <w:pStyle w:val="2"/>
        <w:keepNext w:val="0"/>
        <w:keepLines w:val="0"/>
        <w:widowControl/>
        <w:suppressLineNumbers w:val="0"/>
      </w:pPr>
      <w:r>
        <w:t>The LOWINC e</w:t>
      </w:r>
      <w:r>
        <w:t>ffect on the quadratic term is small and not statistically significant, so there is not strong evide</w:t>
      </w:r>
      <w:r>
        <w:t>nce that school poverty concentration predicts the curvature of growth.</w:t>
      </w:r>
    </w:p>
    <w:p w14:paraId="7E13D0A6">
      <w:pPr>
        <w:numPr>
          <w:ilvl w:val="0"/>
          <w:numId w:val="0"/>
        </w:numPr>
        <w:rPr>
          <w:rFonts w:hint="eastAsia" w:cstheme="minorBidi"/>
          <w:b/>
          <w:bCs/>
          <w:kern w:val="0"/>
          <w:sz w:val="24"/>
          <w:szCs w:val="24"/>
          <w:lang w:val="en-US" w:eastAsia="zh-CN" w:bidi="ar"/>
        </w:rPr>
      </w:pPr>
    </w:p>
    <w:p w14:paraId="7D39EE75">
      <w:pPr>
        <w:numPr>
          <w:ilvl w:val="0"/>
          <w:numId w:val="0"/>
        </w:numPr>
        <w:rPr>
          <w:rFonts w:hint="eastAsia" w:cstheme="minorBidi"/>
          <w:b/>
          <w:bCs/>
          <w:kern w:val="0"/>
          <w:sz w:val="24"/>
          <w:szCs w:val="24"/>
          <w:lang w:val="en-US" w:eastAsia="zh-CN" w:bidi="ar"/>
        </w:rPr>
      </w:pPr>
      <w:r>
        <w:rPr>
          <w:rFonts w:hint="eastAsia" w:cstheme="minorBidi"/>
          <w:b/>
          <w:bCs/>
          <w:kern w:val="0"/>
          <w:sz w:val="24"/>
          <w:szCs w:val="24"/>
          <w:lang w:val="en-US" w:eastAsia="zh-CN" w:bidi="ar"/>
        </w:rPr>
        <w:t>7.</w:t>
      </w:r>
    </w:p>
    <w:p w14:paraId="7C253584">
      <w:pPr>
        <w:bidi w:val="0"/>
        <w:rPr>
          <w:sz w:val="24"/>
          <w:szCs w:val="24"/>
        </w:rPr>
      </w:pPr>
      <w:r>
        <w:rPr>
          <w:sz w:val="24"/>
          <w:szCs w:val="24"/>
        </w:rPr>
        <w:t xml:space="preserve">Compared with the model in </w:t>
      </w:r>
      <w:r>
        <w:rPr>
          <w:rFonts w:hint="eastAsia"/>
          <w:sz w:val="24"/>
          <w:szCs w:val="24"/>
          <w:lang w:val="en-US" w:eastAsia="zh-CN"/>
        </w:rPr>
        <w:t>Q</w:t>
      </w:r>
      <w:r>
        <w:rPr>
          <w:sz w:val="24"/>
          <w:szCs w:val="24"/>
        </w:rPr>
        <w:t>2, the results change after controlling for school poverty concentration. In the original model, white students’ linear growth rate was approximately 0.836. After adding LOWINC, white students’ estimated growth rate increased to approximately 0.944. This suggests that school poverty concentration was masking some of the growth rate differences across schools.</w:t>
      </w:r>
    </w:p>
    <w:p w14:paraId="795B613F">
      <w:pPr>
        <w:bidi w:val="0"/>
        <w:rPr>
          <w:sz w:val="24"/>
          <w:szCs w:val="24"/>
        </w:rPr>
      </w:pPr>
    </w:p>
    <w:p w14:paraId="483DA5AC">
      <w:pPr>
        <w:bidi w:val="0"/>
        <w:rPr>
          <w:sz w:val="24"/>
          <w:szCs w:val="24"/>
        </w:rPr>
      </w:pPr>
      <w:r>
        <w:rPr>
          <w:sz w:val="24"/>
          <w:szCs w:val="24"/>
        </w:rPr>
        <w:t>The Black-white difference in linear growth becomes smaller after controlling for LOWINC. This suggests that part of the slower growth observed for Black students in the original model is related to the fact that Black students are more likely to attend schools with higher poverty concentration.</w:t>
      </w:r>
    </w:p>
    <w:p w14:paraId="433577DA">
      <w:pPr>
        <w:bidi w:val="0"/>
        <w:rPr>
          <w:sz w:val="24"/>
          <w:szCs w:val="24"/>
        </w:rPr>
      </w:pPr>
    </w:p>
    <w:p w14:paraId="6E988035">
      <w:pPr>
        <w:bidi w:val="0"/>
        <w:rPr>
          <w:sz w:val="24"/>
          <w:szCs w:val="24"/>
        </w:rPr>
      </w:pPr>
      <w:r>
        <w:rPr>
          <w:sz w:val="24"/>
          <w:szCs w:val="24"/>
        </w:rPr>
        <w:t>The quadratic term for white students also becomes more negative, changing from about -0.059 to about -0.071. This means that, after controlling for school poverty concentration, achievement growth still increases over time but decelerates somewhat more sharply.</w:t>
      </w:r>
    </w:p>
    <w:p w14:paraId="1C039C1B">
      <w:pPr>
        <w:bidi w:val="0"/>
        <w:rPr>
          <w:sz w:val="24"/>
          <w:szCs w:val="24"/>
        </w:rPr>
      </w:pPr>
    </w:p>
    <w:p w14:paraId="3AF3810F">
      <w:pPr>
        <w:bidi w:val="0"/>
        <w:rPr>
          <w:sz w:val="24"/>
          <w:szCs w:val="24"/>
        </w:rPr>
      </w:pPr>
      <w:r>
        <w:rPr>
          <w:sz w:val="24"/>
          <w:szCs w:val="24"/>
        </w:rPr>
        <w:t>Overall, adding LOWINC shows that school poverty concentration explains part of the ethnic disparities in math achievement growth, especially differences in growth rates. However, it does not fully eliminate ethnic differences in achievement.</w:t>
      </w:r>
    </w:p>
    <w:p w14:paraId="08FB3698">
      <w:pPr>
        <w:numPr>
          <w:ilvl w:val="0"/>
          <w:numId w:val="0"/>
        </w:numPr>
        <w:rPr>
          <w:rFonts w:hint="default" w:cstheme="minorBidi"/>
          <w:b/>
          <w:bCs/>
          <w:kern w:val="0"/>
          <w:sz w:val="24"/>
          <w:szCs w:val="24"/>
          <w:lang w:val="en-US" w:eastAsia="zh-CN" w:bidi="ar"/>
        </w:rPr>
      </w:pPr>
    </w:p>
    <w:p w14:paraId="1C13841B">
      <w:pPr>
        <w:numPr>
          <w:ilvl w:val="0"/>
          <w:numId w:val="0"/>
        </w:numPr>
        <w:rPr>
          <w:rFonts w:hint="eastAsia" w:asciiTheme="minorHAnsi" w:hAnsiTheme="minorHAnsi" w:eastAsiaTheme="minorEastAsia" w:cstheme="minorBidi"/>
          <w:b/>
          <w:bCs/>
          <w:kern w:val="0"/>
          <w:sz w:val="24"/>
          <w:szCs w:val="24"/>
          <w:lang w:val="en-US" w:eastAsia="zh-CN" w:bidi="ar"/>
        </w:rPr>
      </w:pPr>
    </w:p>
    <w:p w14:paraId="1B58F8E4">
      <w:pPr>
        <w:numPr>
          <w:ilvl w:val="0"/>
          <w:numId w:val="0"/>
        </w:numPr>
        <w:rPr>
          <w:rFonts w:hint="eastAsia" w:asciiTheme="minorHAnsi" w:hAnsiTheme="minorHAnsi" w:eastAsiaTheme="minorEastAsia" w:cstheme="minorBidi"/>
          <w:b/>
          <w:bCs/>
          <w:kern w:val="0"/>
          <w:sz w:val="24"/>
          <w:szCs w:val="24"/>
          <w:lang w:val="en-US" w:eastAsia="zh-CN" w:bidi="ar"/>
        </w:rPr>
      </w:pPr>
    </w:p>
    <w:p w14:paraId="6ECD69E3">
      <w:pPr>
        <w:numPr>
          <w:ilvl w:val="0"/>
          <w:numId w:val="0"/>
        </w:numPr>
        <w:rPr>
          <w:rFonts w:hint="eastAsia" w:asciiTheme="minorHAnsi" w:hAnsiTheme="minorHAnsi" w:eastAsiaTheme="minorEastAsia" w:cstheme="minorBidi"/>
          <w:b/>
          <w:bCs/>
          <w:kern w:val="0"/>
          <w:sz w:val="24"/>
          <w:szCs w:val="24"/>
          <w:lang w:val="en-US" w:eastAsia="zh-CN" w:bidi="ar"/>
        </w:rPr>
      </w:pPr>
      <w:r>
        <w:rPr>
          <w:rFonts w:hint="eastAsia" w:asciiTheme="minorHAnsi" w:hAnsiTheme="minorHAnsi" w:eastAsiaTheme="minorEastAsia" w:cstheme="minorBidi"/>
          <w:b/>
          <w:bCs/>
          <w:kern w:val="0"/>
          <w:sz w:val="24"/>
          <w:szCs w:val="24"/>
          <w:lang w:val="en-US" w:eastAsia="zh-CN" w:bidi="ar"/>
        </w:rPr>
        <w:t>partB</w:t>
      </w:r>
    </w:p>
    <w:p w14:paraId="445110FA">
      <w:pPr>
        <w:numPr>
          <w:ilvl w:val="0"/>
          <w:numId w:val="0"/>
        </w:numPr>
      </w:pPr>
      <w:r>
        <w:drawing>
          <wp:inline distT="0" distB="0" distL="114300" distR="114300">
            <wp:extent cx="5269865" cy="5281930"/>
            <wp:effectExtent l="0" t="0" r="63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9865" cy="5281930"/>
                    </a:xfrm>
                    <a:prstGeom prst="rect">
                      <a:avLst/>
                    </a:prstGeom>
                    <a:noFill/>
                    <a:ln>
                      <a:noFill/>
                    </a:ln>
                  </pic:spPr>
                </pic:pic>
              </a:graphicData>
            </a:graphic>
          </wp:inline>
        </w:drawing>
      </w:r>
    </w:p>
    <w:p w14:paraId="42CE5DE3">
      <w:pPr>
        <w:numPr>
          <w:ilvl w:val="0"/>
          <w:numId w:val="2"/>
        </w:numPr>
        <w:rPr>
          <w:rFonts w:hint="eastAsia"/>
          <w:b/>
          <w:bCs/>
          <w:lang w:val="en-US" w:eastAsia="zh-CN"/>
        </w:rPr>
      </w:pPr>
      <w:r>
        <w:rPr>
          <w:rFonts w:hint="eastAsia"/>
          <w:b/>
          <w:bCs/>
          <w:lang w:val="en-US" w:eastAsia="zh-CN"/>
        </w:rPr>
        <w:t>Model, sampling model, link function, and interpretation</w:t>
      </w:r>
    </w:p>
    <w:p w14:paraId="40246CD2">
      <w:pPr>
        <w:numPr>
          <w:numId w:val="0"/>
        </w:numPr>
        <w:rPr>
          <w:rFonts w:hint="eastAsia"/>
          <w:lang w:val="en-US" w:eastAsia="zh-CN"/>
        </w:rPr>
      </w:pPr>
    </w:p>
    <w:p w14:paraId="36980EA7">
      <w:pPr>
        <w:numPr>
          <w:numId w:val="0"/>
        </w:numPr>
        <w:rPr>
          <w:rFonts w:hint="eastAsia"/>
          <w:lang w:val="en-US" w:eastAsia="zh-CN"/>
        </w:rPr>
      </w:pPr>
      <w:r>
        <w:drawing>
          <wp:inline distT="0" distB="0" distL="114300" distR="114300">
            <wp:extent cx="4744085" cy="6955155"/>
            <wp:effectExtent l="0" t="0" r="5715" b="44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4744085" cy="6955155"/>
                    </a:xfrm>
                    <a:prstGeom prst="rect">
                      <a:avLst/>
                    </a:prstGeom>
                    <a:noFill/>
                    <a:ln>
                      <a:noFill/>
                    </a:ln>
                  </pic:spPr>
                </pic:pic>
              </a:graphicData>
            </a:graphic>
          </wp:inline>
        </w:drawing>
      </w:r>
    </w:p>
    <w:p w14:paraId="1F00A395">
      <w:pPr>
        <w:numPr>
          <w:ilvl w:val="0"/>
          <w:numId w:val="0"/>
        </w:numPr>
        <w:rPr>
          <w:rFonts w:hint="default"/>
          <w:lang w:val="en-US" w:eastAsia="zh-CN"/>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1"/>
        <w:gridCol w:w="980"/>
        <w:gridCol w:w="874"/>
        <w:gridCol w:w="5671"/>
      </w:tblGrid>
      <w:tr w14:paraId="1FE8C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0BC3644">
            <w:pPr>
              <w:bidi w:val="0"/>
            </w:pPr>
            <w:r>
              <w:rPr>
                <w:lang w:val="en-US" w:eastAsia="zh-CN"/>
              </w:rPr>
              <w:t>Predictor</w:t>
            </w:r>
          </w:p>
        </w:tc>
        <w:tc>
          <w:tcPr>
            <w:tcW w:w="0" w:type="auto"/>
            <w:shd w:val="clear" w:color="auto" w:fill="auto"/>
            <w:vAlign w:val="center"/>
          </w:tcPr>
          <w:p w14:paraId="61CEAD34">
            <w:pPr>
              <w:bidi w:val="0"/>
            </w:pPr>
            <w:r>
              <w:rPr>
                <w:lang w:val="en-US" w:eastAsia="zh-CN"/>
              </w:rPr>
              <w:t>Coefficient</w:t>
            </w:r>
          </w:p>
        </w:tc>
        <w:tc>
          <w:tcPr>
            <w:tcW w:w="0" w:type="auto"/>
            <w:shd w:val="clear" w:color="auto" w:fill="auto"/>
            <w:vAlign w:val="center"/>
          </w:tcPr>
          <w:p w14:paraId="08198190">
            <w:pPr>
              <w:bidi w:val="0"/>
            </w:pPr>
            <w:r>
              <w:rPr>
                <w:lang w:val="en-US" w:eastAsia="zh-CN"/>
              </w:rPr>
              <w:t>Odds Ratio</w:t>
            </w:r>
          </w:p>
        </w:tc>
        <w:tc>
          <w:tcPr>
            <w:tcW w:w="0" w:type="auto"/>
            <w:shd w:val="clear" w:color="auto" w:fill="auto"/>
            <w:vAlign w:val="center"/>
          </w:tcPr>
          <w:p w14:paraId="5A006CC6">
            <w:pPr>
              <w:bidi w:val="0"/>
            </w:pPr>
            <w:r>
              <w:rPr>
                <w:lang w:val="en-US" w:eastAsia="zh-CN"/>
              </w:rPr>
              <w:t>Interpretation</w:t>
            </w:r>
          </w:p>
        </w:tc>
      </w:tr>
      <w:tr w14:paraId="0DEC2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AABD62">
            <w:pPr>
              <w:bidi w:val="0"/>
            </w:pPr>
            <w:r>
              <w:rPr>
                <w:lang w:val="en-US" w:eastAsia="zh-CN"/>
              </w:rPr>
              <w:t>Intercept</w:t>
            </w:r>
          </w:p>
        </w:tc>
        <w:tc>
          <w:tcPr>
            <w:tcW w:w="0" w:type="auto"/>
            <w:shd w:val="clear" w:color="auto" w:fill="auto"/>
            <w:vAlign w:val="center"/>
          </w:tcPr>
          <w:p w14:paraId="207D6722">
            <w:pPr>
              <w:bidi w:val="0"/>
            </w:pPr>
            <w:r>
              <w:rPr>
                <w:lang w:val="en-US" w:eastAsia="zh-CN"/>
              </w:rPr>
              <w:t>-0.631</w:t>
            </w:r>
          </w:p>
        </w:tc>
        <w:tc>
          <w:tcPr>
            <w:tcW w:w="0" w:type="auto"/>
            <w:shd w:val="clear" w:color="auto" w:fill="auto"/>
            <w:vAlign w:val="center"/>
          </w:tcPr>
          <w:p w14:paraId="24A681EA">
            <w:pPr>
              <w:bidi w:val="0"/>
            </w:pPr>
            <w:r>
              <w:rPr>
                <w:lang w:val="en-US" w:eastAsia="zh-CN"/>
              </w:rPr>
              <w:t>0.532</w:t>
            </w:r>
          </w:p>
        </w:tc>
        <w:tc>
          <w:tcPr>
            <w:tcW w:w="0" w:type="auto"/>
            <w:shd w:val="clear" w:color="auto" w:fill="auto"/>
            <w:vAlign w:val="center"/>
          </w:tcPr>
          <w:p w14:paraId="3435B46F">
            <w:pPr>
              <w:bidi w:val="0"/>
            </w:pPr>
            <w:r>
              <w:rPr>
                <w:lang w:val="en-US" w:eastAsia="zh-CN"/>
              </w:rPr>
              <w:t>Baseline log-odds for a white male with BYSES = 0</w:t>
            </w:r>
          </w:p>
        </w:tc>
      </w:tr>
      <w:tr w14:paraId="1C275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48D48F">
            <w:pPr>
              <w:bidi w:val="0"/>
            </w:pPr>
            <w:r>
              <w:rPr>
                <w:lang w:val="en-US" w:eastAsia="zh-CN"/>
              </w:rPr>
              <w:t>FEMALE</w:t>
            </w:r>
          </w:p>
        </w:tc>
        <w:tc>
          <w:tcPr>
            <w:tcW w:w="0" w:type="auto"/>
            <w:shd w:val="clear" w:color="auto" w:fill="auto"/>
            <w:vAlign w:val="center"/>
          </w:tcPr>
          <w:p w14:paraId="6B7A0CE6">
            <w:pPr>
              <w:bidi w:val="0"/>
            </w:pPr>
            <w:r>
              <w:rPr>
                <w:lang w:val="en-US" w:eastAsia="zh-CN"/>
              </w:rPr>
              <w:t>0.383</w:t>
            </w:r>
          </w:p>
        </w:tc>
        <w:tc>
          <w:tcPr>
            <w:tcW w:w="0" w:type="auto"/>
            <w:shd w:val="clear" w:color="auto" w:fill="auto"/>
            <w:vAlign w:val="center"/>
          </w:tcPr>
          <w:p w14:paraId="56106E7F">
            <w:pPr>
              <w:bidi w:val="0"/>
            </w:pPr>
            <w:r>
              <w:rPr>
                <w:lang w:val="en-US" w:eastAsia="zh-CN"/>
              </w:rPr>
              <w:t>1.466</w:t>
            </w:r>
          </w:p>
        </w:tc>
        <w:tc>
          <w:tcPr>
            <w:tcW w:w="0" w:type="auto"/>
            <w:shd w:val="clear" w:color="auto" w:fill="auto"/>
            <w:vAlign w:val="center"/>
          </w:tcPr>
          <w:p w14:paraId="2693831B">
            <w:pPr>
              <w:bidi w:val="0"/>
            </w:pPr>
            <w:r>
              <w:rPr>
                <w:lang w:val="en-US" w:eastAsia="zh-CN"/>
              </w:rPr>
              <w:t>Females have about 46.6% higher odds of BA graduation than males</w:t>
            </w:r>
          </w:p>
        </w:tc>
      </w:tr>
      <w:tr w14:paraId="03672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0A130F">
            <w:pPr>
              <w:bidi w:val="0"/>
            </w:pPr>
            <w:r>
              <w:rPr>
                <w:lang w:val="en-US" w:eastAsia="zh-CN"/>
              </w:rPr>
              <w:t>BLACK</w:t>
            </w:r>
          </w:p>
        </w:tc>
        <w:tc>
          <w:tcPr>
            <w:tcW w:w="0" w:type="auto"/>
            <w:shd w:val="clear" w:color="auto" w:fill="auto"/>
            <w:vAlign w:val="center"/>
          </w:tcPr>
          <w:p w14:paraId="08EE60C5">
            <w:pPr>
              <w:bidi w:val="0"/>
            </w:pPr>
            <w:r>
              <w:rPr>
                <w:lang w:val="en-US" w:eastAsia="zh-CN"/>
              </w:rPr>
              <w:t>-0.446</w:t>
            </w:r>
          </w:p>
        </w:tc>
        <w:tc>
          <w:tcPr>
            <w:tcW w:w="0" w:type="auto"/>
            <w:shd w:val="clear" w:color="auto" w:fill="auto"/>
            <w:vAlign w:val="center"/>
          </w:tcPr>
          <w:p w14:paraId="0600CB7F">
            <w:pPr>
              <w:bidi w:val="0"/>
            </w:pPr>
            <w:r>
              <w:rPr>
                <w:lang w:val="en-US" w:eastAsia="zh-CN"/>
              </w:rPr>
              <w:t>0.640</w:t>
            </w:r>
          </w:p>
        </w:tc>
        <w:tc>
          <w:tcPr>
            <w:tcW w:w="0" w:type="auto"/>
            <w:shd w:val="clear" w:color="auto" w:fill="auto"/>
            <w:vAlign w:val="center"/>
          </w:tcPr>
          <w:p w14:paraId="56060E4B">
            <w:pPr>
              <w:bidi w:val="0"/>
            </w:pPr>
            <w:r>
              <w:rPr>
                <w:lang w:val="en-US" w:eastAsia="zh-CN"/>
              </w:rPr>
              <w:t>Black students have lower odds than white students, but this is not significant at .05</w:t>
            </w:r>
          </w:p>
        </w:tc>
      </w:tr>
      <w:tr w14:paraId="734CB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0E8710">
            <w:pPr>
              <w:bidi w:val="0"/>
            </w:pPr>
            <w:r>
              <w:rPr>
                <w:lang w:val="en-US" w:eastAsia="zh-CN"/>
              </w:rPr>
              <w:t>HISPANIC</w:t>
            </w:r>
          </w:p>
        </w:tc>
        <w:tc>
          <w:tcPr>
            <w:tcW w:w="0" w:type="auto"/>
            <w:shd w:val="clear" w:color="auto" w:fill="auto"/>
            <w:vAlign w:val="center"/>
          </w:tcPr>
          <w:p w14:paraId="5B351634">
            <w:pPr>
              <w:bidi w:val="0"/>
            </w:pPr>
            <w:r>
              <w:rPr>
                <w:lang w:val="en-US" w:eastAsia="zh-CN"/>
              </w:rPr>
              <w:t>-0.084</w:t>
            </w:r>
          </w:p>
        </w:tc>
        <w:tc>
          <w:tcPr>
            <w:tcW w:w="0" w:type="auto"/>
            <w:shd w:val="clear" w:color="auto" w:fill="auto"/>
            <w:vAlign w:val="center"/>
          </w:tcPr>
          <w:p w14:paraId="28BF302B">
            <w:pPr>
              <w:bidi w:val="0"/>
            </w:pPr>
            <w:r>
              <w:rPr>
                <w:lang w:val="en-US" w:eastAsia="zh-CN"/>
              </w:rPr>
              <w:t>0.919</w:t>
            </w:r>
          </w:p>
        </w:tc>
        <w:tc>
          <w:tcPr>
            <w:tcW w:w="0" w:type="auto"/>
            <w:shd w:val="clear" w:color="auto" w:fill="auto"/>
            <w:vAlign w:val="center"/>
          </w:tcPr>
          <w:p w14:paraId="29942045">
            <w:pPr>
              <w:bidi w:val="0"/>
            </w:pPr>
            <w:r>
              <w:rPr>
                <w:lang w:val="en-US" w:eastAsia="zh-CN"/>
              </w:rPr>
              <w:t>Hispanic students do not differ significantly from white students</w:t>
            </w:r>
          </w:p>
        </w:tc>
      </w:tr>
      <w:tr w14:paraId="43353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52C23F">
            <w:pPr>
              <w:bidi w:val="0"/>
            </w:pPr>
            <w:r>
              <w:rPr>
                <w:lang w:val="en-US" w:eastAsia="zh-CN"/>
              </w:rPr>
              <w:t>ASIAN</w:t>
            </w:r>
          </w:p>
        </w:tc>
        <w:tc>
          <w:tcPr>
            <w:tcW w:w="0" w:type="auto"/>
            <w:shd w:val="clear" w:color="auto" w:fill="auto"/>
            <w:vAlign w:val="center"/>
          </w:tcPr>
          <w:p w14:paraId="0B4F6B37">
            <w:pPr>
              <w:bidi w:val="0"/>
            </w:pPr>
            <w:r>
              <w:rPr>
                <w:lang w:val="en-US" w:eastAsia="zh-CN"/>
              </w:rPr>
              <w:t>0.887</w:t>
            </w:r>
          </w:p>
        </w:tc>
        <w:tc>
          <w:tcPr>
            <w:tcW w:w="0" w:type="auto"/>
            <w:shd w:val="clear" w:color="auto" w:fill="auto"/>
            <w:vAlign w:val="center"/>
          </w:tcPr>
          <w:p w14:paraId="3C2E340A">
            <w:pPr>
              <w:bidi w:val="0"/>
            </w:pPr>
            <w:r>
              <w:rPr>
                <w:lang w:val="en-US" w:eastAsia="zh-CN"/>
              </w:rPr>
              <w:t>2.427</w:t>
            </w:r>
          </w:p>
        </w:tc>
        <w:tc>
          <w:tcPr>
            <w:tcW w:w="0" w:type="auto"/>
            <w:shd w:val="clear" w:color="auto" w:fill="auto"/>
            <w:vAlign w:val="center"/>
          </w:tcPr>
          <w:p w14:paraId="638905E8">
            <w:pPr>
              <w:bidi w:val="0"/>
            </w:pPr>
            <w:r>
              <w:rPr>
                <w:lang w:val="en-US" w:eastAsia="zh-CN"/>
              </w:rPr>
              <w:t>Asian students have much higher odds than white students</w:t>
            </w:r>
          </w:p>
        </w:tc>
      </w:tr>
      <w:tr w14:paraId="00729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455373">
            <w:pPr>
              <w:bidi w:val="0"/>
            </w:pPr>
            <w:r>
              <w:rPr>
                <w:lang w:val="en-US" w:eastAsia="zh-CN"/>
              </w:rPr>
              <w:t>BYSES</w:t>
            </w:r>
          </w:p>
        </w:tc>
        <w:tc>
          <w:tcPr>
            <w:tcW w:w="0" w:type="auto"/>
            <w:shd w:val="clear" w:color="auto" w:fill="auto"/>
            <w:vAlign w:val="center"/>
          </w:tcPr>
          <w:p w14:paraId="7DB93EAE">
            <w:pPr>
              <w:bidi w:val="0"/>
            </w:pPr>
            <w:r>
              <w:rPr>
                <w:lang w:val="en-US" w:eastAsia="zh-CN"/>
              </w:rPr>
              <w:t>1.067</w:t>
            </w:r>
          </w:p>
        </w:tc>
        <w:tc>
          <w:tcPr>
            <w:tcW w:w="0" w:type="auto"/>
            <w:shd w:val="clear" w:color="auto" w:fill="auto"/>
            <w:vAlign w:val="center"/>
          </w:tcPr>
          <w:p w14:paraId="4DCFBE14">
            <w:pPr>
              <w:bidi w:val="0"/>
            </w:pPr>
            <w:r>
              <w:rPr>
                <w:lang w:val="en-US" w:eastAsia="zh-CN"/>
              </w:rPr>
              <w:t>2.905</w:t>
            </w:r>
          </w:p>
        </w:tc>
        <w:tc>
          <w:tcPr>
            <w:tcW w:w="0" w:type="auto"/>
            <w:shd w:val="clear" w:color="auto" w:fill="auto"/>
            <w:vAlign w:val="center"/>
          </w:tcPr>
          <w:p w14:paraId="4397014F">
            <w:pPr>
              <w:bidi w:val="0"/>
            </w:pPr>
            <w:r>
              <w:rPr>
                <w:lang w:val="en-US" w:eastAsia="zh-CN"/>
              </w:rPr>
              <w:t>A one-unit increase in BYSES nearly triples the odds of BA graduation</w:t>
            </w:r>
          </w:p>
        </w:tc>
      </w:tr>
    </w:tbl>
    <w:p w14:paraId="21F56BD6">
      <w:pPr>
        <w:numPr>
          <w:ilvl w:val="0"/>
          <w:numId w:val="0"/>
        </w:numPr>
        <w:rPr>
          <w:rFonts w:hint="default"/>
          <w:lang w:val="en-US" w:eastAsia="zh-CN"/>
        </w:rPr>
      </w:pPr>
    </w:p>
    <w:p w14:paraId="07918710">
      <w:pPr>
        <w:numPr>
          <w:ilvl w:val="0"/>
          <w:numId w:val="0"/>
        </w:numPr>
        <w:rPr>
          <w:rFonts w:hint="default"/>
          <w:lang w:val="en-US" w:eastAsia="zh-CN"/>
        </w:rPr>
      </w:pPr>
    </w:p>
    <w:p w14:paraId="1CCA13F1">
      <w:pPr>
        <w:numPr>
          <w:ilvl w:val="0"/>
          <w:numId w:val="0"/>
        </w:numPr>
        <w:rPr>
          <w:rFonts w:hint="default"/>
          <w:lang w:val="en-US" w:eastAsia="zh-CN"/>
        </w:rPr>
      </w:pPr>
    </w:p>
    <w:p w14:paraId="5B012691">
      <w:pPr>
        <w:numPr>
          <w:ilvl w:val="0"/>
          <w:numId w:val="2"/>
        </w:numPr>
        <w:rPr>
          <w:rFonts w:hint="default"/>
          <w:b/>
          <w:bCs/>
          <w:sz w:val="24"/>
          <w:szCs w:val="24"/>
          <w:lang w:val="en-US" w:eastAsia="zh-CN"/>
        </w:rPr>
      </w:pPr>
      <w:r>
        <w:rPr>
          <w:rFonts w:hint="eastAsia"/>
          <w:b/>
          <w:bCs/>
          <w:sz w:val="24"/>
          <w:szCs w:val="24"/>
          <w:lang w:val="en-US" w:eastAsia="zh-CN"/>
        </w:rPr>
        <w:t>Predicted probabilities</w:t>
      </w:r>
    </w:p>
    <w:p w14:paraId="05751A6F">
      <w:pPr>
        <w:numPr>
          <w:ilvl w:val="0"/>
          <w:numId w:val="0"/>
        </w:numPr>
        <w:rPr>
          <w:rFonts w:hint="default"/>
          <w:sz w:val="24"/>
          <w:szCs w:val="24"/>
          <w:lang w:val="en-US" w:eastAsia="zh-CN"/>
        </w:rPr>
      </w:pPr>
      <w:r>
        <w:rPr>
          <w:rFonts w:hint="eastAsia"/>
          <w:sz w:val="24"/>
          <w:szCs w:val="24"/>
          <w:lang w:val="en-US" w:eastAsia="zh-CN"/>
        </w:rPr>
        <w:t>Use the logistic transformation</w:t>
      </w:r>
    </w:p>
    <w:p w14:paraId="3EE9EE8F">
      <w:pPr>
        <w:numPr>
          <w:ilvl w:val="0"/>
          <w:numId w:val="0"/>
        </w:numPr>
        <w:rPr>
          <w:rFonts w:hint="default" w:hAnsi="Cambria Math" w:eastAsia="宋体" w:cs="宋体"/>
          <w:i/>
          <w:kern w:val="2"/>
          <w:sz w:val="24"/>
          <w:szCs w:val="24"/>
          <w:lang w:val="en-US" w:eastAsia="zh-CN" w:bidi="ar-SA"/>
        </w:rPr>
      </w:pPr>
      <m:oMathPara>
        <m:oMath>
          <m:r>
            <m:rPr/>
            <w:rPr>
              <w:rFonts w:hint="default" w:ascii="Cambria Math" w:hAnsi="Cambria Math" w:eastAsia="宋体"/>
              <w:sz w:val="24"/>
              <w:szCs w:val="24"/>
            </w:rPr>
            <m:t>p=</m:t>
          </m:r>
          <m:f>
            <m:fPr>
              <m:ctrlPr>
                <w:rPr>
                  <w:rFonts w:hint="default" w:ascii="Cambria Math" w:hAnsi="Cambria Math" w:eastAsia="宋体"/>
                  <w:sz w:val="24"/>
                  <w:szCs w:val="24"/>
                </w:rPr>
              </m:ctrlPr>
            </m:fPr>
            <m:num>
              <m:sSup>
                <m:sSupPr>
                  <m:ctrlPr>
                    <w:rPr>
                      <w:rFonts w:hint="default" w:ascii="Cambria Math" w:hAnsi="Cambria Math" w:eastAsia="宋体"/>
                      <w:sz w:val="24"/>
                      <w:szCs w:val="24"/>
                    </w:rPr>
                  </m:ctrlPr>
                </m:sSupPr>
                <m:e>
                  <m:r>
                    <m:rPr/>
                    <w:rPr>
                      <w:rFonts w:hint="default" w:ascii="Cambria Math" w:hAnsi="Cambria Math" w:eastAsia="宋体"/>
                      <w:sz w:val="24"/>
                      <w:szCs w:val="24"/>
                    </w:rPr>
                    <m:t>e</m:t>
                  </m:r>
                  <m:ctrlPr>
                    <w:rPr>
                      <w:rFonts w:ascii="Cambria Math" w:hAnsi="Cambria Math" w:eastAsia="宋体"/>
                      <w:sz w:val="24"/>
                      <w:szCs w:val="24"/>
                    </w:rPr>
                  </m:ctrlPr>
                </m:e>
                <m:sup>
                  <m:r>
                    <m:rPr/>
                    <w:rPr>
                      <w:rFonts w:hint="default" w:ascii="Cambria Math" w:hAnsi="Cambria Math" w:eastAsia="宋体"/>
                      <w:sz w:val="24"/>
                      <w:szCs w:val="24"/>
                    </w:rPr>
                    <m:t>η</m:t>
                  </m:r>
                  <m:ctrlPr>
                    <w:rPr>
                      <w:rFonts w:ascii="Cambria Math" w:hAnsi="Cambria Math" w:eastAsia="宋体"/>
                      <w:sz w:val="24"/>
                      <w:szCs w:val="24"/>
                    </w:rPr>
                  </m:ctrlPr>
                </m:sup>
              </m:sSup>
              <m:ctrlPr>
                <w:rPr>
                  <w:rFonts w:hint="default" w:ascii="Cambria Math" w:hAnsi="Cambria Math" w:eastAsia="宋体"/>
                  <w:sz w:val="24"/>
                  <w:szCs w:val="24"/>
                </w:rPr>
              </m:ctrlPr>
            </m:num>
            <m:den>
              <m:r>
                <m:rPr/>
                <w:rPr>
                  <w:rFonts w:hint="default" w:ascii="Cambria Math" w:hAnsi="Cambria Math" w:eastAsia="宋体"/>
                  <w:sz w:val="24"/>
                  <w:szCs w:val="24"/>
                </w:rPr>
                <m:t>1+</m:t>
              </m:r>
              <m:sSup>
                <m:sSupPr>
                  <m:ctrlPr>
                    <w:rPr>
                      <w:rFonts w:hint="default" w:ascii="Cambria Math" w:hAnsi="Cambria Math" w:eastAsia="宋体"/>
                      <w:sz w:val="24"/>
                      <w:szCs w:val="24"/>
                    </w:rPr>
                  </m:ctrlPr>
                </m:sSupPr>
                <m:e>
                  <m:r>
                    <m:rPr/>
                    <w:rPr>
                      <w:rFonts w:hint="default" w:ascii="Cambria Math" w:hAnsi="Cambria Math" w:eastAsia="宋体"/>
                      <w:sz w:val="24"/>
                      <w:szCs w:val="24"/>
                    </w:rPr>
                    <m:t>e</m:t>
                  </m:r>
                  <m:ctrlPr>
                    <w:rPr>
                      <w:rFonts w:ascii="Cambria Math" w:hAnsi="Cambria Math" w:eastAsia="宋体"/>
                      <w:sz w:val="24"/>
                      <w:szCs w:val="24"/>
                    </w:rPr>
                  </m:ctrlPr>
                </m:e>
                <m:sup>
                  <m:r>
                    <m:rPr/>
                    <w:rPr>
                      <w:rFonts w:hint="default" w:ascii="Cambria Math" w:hAnsi="Cambria Math" w:eastAsia="宋体"/>
                      <w:sz w:val="24"/>
                      <w:szCs w:val="24"/>
                    </w:rPr>
                    <m:t>η</m:t>
                  </m:r>
                  <m:ctrlPr>
                    <w:rPr>
                      <w:rFonts w:ascii="Cambria Math" w:hAnsi="Cambria Math" w:eastAsia="宋体"/>
                      <w:sz w:val="24"/>
                      <w:szCs w:val="24"/>
                    </w:rPr>
                  </m:ctrlPr>
                </m:sup>
              </m:sSup>
              <m:ctrlPr>
                <w:rPr>
                  <w:rFonts w:hint="default" w:ascii="Cambria Math" w:hAnsi="Cambria Math" w:eastAsia="宋体"/>
                  <w:sz w:val="24"/>
                  <w:szCs w:val="24"/>
                </w:rPr>
              </m:ctrlPr>
            </m:den>
          </m:f>
        </m:oMath>
      </m:oMathPara>
    </w:p>
    <w:p w14:paraId="1B89D14F">
      <w:pPr>
        <w:numPr>
          <w:ilvl w:val="0"/>
          <w:numId w:val="0"/>
        </w:numPr>
        <w:rPr>
          <w:rFonts w:hint="eastAsia" w:hAnsi="Cambria Math" w:eastAsia="宋体" w:cs="宋体"/>
          <w:i/>
          <w:kern w:val="2"/>
          <w:sz w:val="24"/>
          <w:szCs w:val="24"/>
          <w:lang w:val="en-US" w:eastAsia="zh-CN" w:bidi="ar-SA"/>
        </w:rPr>
      </w:pPr>
    </w:p>
    <w:p w14:paraId="428CA456">
      <w:pPr>
        <w:numPr>
          <w:ilvl w:val="0"/>
          <w:numId w:val="0"/>
        </w:numPr>
        <w:rPr>
          <w:rFonts w:hint="eastAsia"/>
          <w:b/>
          <w:bCs/>
          <w:sz w:val="24"/>
          <w:szCs w:val="24"/>
          <w:lang w:val="en-US" w:eastAsia="zh-CN"/>
        </w:rPr>
      </w:pPr>
      <w:r>
        <w:rPr>
          <w:rFonts w:hint="eastAsia"/>
          <w:b/>
          <w:bCs/>
          <w:sz w:val="24"/>
          <w:szCs w:val="24"/>
          <w:lang w:val="en-US" w:eastAsia="zh-CN"/>
        </w:rPr>
        <w:t>A.White male</w:t>
      </w:r>
    </w:p>
    <w:p w14:paraId="7EEF83AF">
      <w:pPr>
        <w:widowControl w:val="0"/>
        <w:numPr>
          <w:ilvl w:val="0"/>
          <w:numId w:val="0"/>
        </w:numPr>
        <w:jc w:val="both"/>
        <w:rPr>
          <w:rFonts w:hint="eastAsia" w:hAnsi="Cambria Math" w:eastAsia="宋体" w:cs="宋体"/>
          <w:i w:val="0"/>
          <w:kern w:val="2"/>
          <w:sz w:val="24"/>
          <w:szCs w:val="24"/>
          <w:lang w:val="en-US" w:eastAsia="zh-CN" w:bidi="ar-SA"/>
        </w:rPr>
      </w:pPr>
      <m:oMathPara>
        <m:oMath>
          <m:r>
            <m:rPr/>
            <w:rPr>
              <w:rFonts w:hint="default" w:ascii="Cambria Math" w:hAnsi="Cambria Math" w:eastAsia="宋体"/>
              <w:sz w:val="24"/>
              <w:szCs w:val="24"/>
            </w:rPr>
            <m:t>η=−0.631</m:t>
          </m:r>
        </m:oMath>
      </m:oMathPara>
    </w:p>
    <w:p w14:paraId="5AEA2066">
      <w:pPr>
        <w:widowControl w:val="0"/>
        <w:numPr>
          <w:ilvl w:val="0"/>
          <w:numId w:val="0"/>
        </w:numPr>
        <w:jc w:val="both"/>
        <w:rPr>
          <w:rFonts w:hint="eastAsia" w:hAnsi="Cambria Math" w:eastAsia="宋体" w:cs="宋体"/>
          <w:i w:val="0"/>
          <w:kern w:val="2"/>
          <w:sz w:val="24"/>
          <w:szCs w:val="24"/>
          <w:lang w:val="en-US" w:eastAsia="zh-CN" w:bidi="ar-SA"/>
        </w:rPr>
      </w:pPr>
    </w:p>
    <w:p w14:paraId="6D7A8F2F">
      <w:pPr>
        <w:widowControl w:val="0"/>
        <w:numPr>
          <w:ilvl w:val="0"/>
          <w:numId w:val="0"/>
        </w:numPr>
        <w:jc w:val="both"/>
        <w:rPr>
          <w:rFonts w:hint="eastAsia" w:hAnsi="Cambria Math" w:eastAsia="宋体" w:cs="宋体"/>
          <w:i w:val="0"/>
          <w:kern w:val="2"/>
          <w:sz w:val="24"/>
          <w:szCs w:val="24"/>
          <w:lang w:val="en-US" w:eastAsia="zh-CN" w:bidi="ar-SA"/>
        </w:rPr>
      </w:pPr>
      <m:oMathPara>
        <m:oMath>
          <m:r>
            <m:rPr/>
            <w:rPr>
              <w:rFonts w:hint="default" w:ascii="Cambria Math" w:hAnsi="Cambria Math" w:eastAsia="宋体"/>
              <w:sz w:val="24"/>
              <w:szCs w:val="24"/>
            </w:rPr>
            <m:t>p=</m:t>
          </m:r>
          <m:f>
            <m:fPr>
              <m:ctrlPr>
                <w:rPr>
                  <w:rFonts w:hint="default" w:ascii="Cambria Math" w:hAnsi="Cambria Math" w:eastAsia="宋体"/>
                  <w:sz w:val="24"/>
                  <w:szCs w:val="24"/>
                </w:rPr>
              </m:ctrlPr>
            </m:fPr>
            <m:num>
              <m:sSup>
                <m:sSupPr>
                  <m:ctrlPr>
                    <w:rPr>
                      <w:rFonts w:hint="default" w:ascii="Cambria Math" w:hAnsi="Cambria Math" w:eastAsia="宋体"/>
                      <w:sz w:val="24"/>
                      <w:szCs w:val="24"/>
                    </w:rPr>
                  </m:ctrlPr>
                </m:sSupPr>
                <m:e>
                  <m:r>
                    <m:rPr/>
                    <w:rPr>
                      <w:rFonts w:hint="default" w:ascii="Cambria Math" w:hAnsi="Cambria Math" w:eastAsia="宋体"/>
                      <w:sz w:val="24"/>
                      <w:szCs w:val="24"/>
                    </w:rPr>
                    <m:t>e</m:t>
                  </m:r>
                  <m:ctrlPr>
                    <w:rPr>
                      <w:rFonts w:ascii="Cambria Math" w:hAnsi="Cambria Math" w:eastAsia="宋体"/>
                      <w:sz w:val="24"/>
                      <w:szCs w:val="24"/>
                    </w:rPr>
                  </m:ctrlPr>
                </m:e>
                <m:sup>
                  <m:r>
                    <m:rPr/>
                    <w:rPr>
                      <w:rFonts w:hint="default" w:ascii="Cambria Math" w:hAnsi="Cambria Math" w:eastAsia="宋体"/>
                      <w:sz w:val="24"/>
                      <w:szCs w:val="24"/>
                    </w:rPr>
                    <m:t>−0.631</m:t>
                  </m:r>
                  <m:ctrlPr>
                    <w:rPr>
                      <w:rFonts w:ascii="Cambria Math" w:hAnsi="Cambria Math" w:eastAsia="宋体"/>
                      <w:sz w:val="24"/>
                      <w:szCs w:val="24"/>
                    </w:rPr>
                  </m:ctrlPr>
                </m:sup>
              </m:sSup>
              <m:ctrlPr>
                <w:rPr>
                  <w:rFonts w:hint="default" w:ascii="Cambria Math" w:hAnsi="Cambria Math" w:eastAsia="宋体"/>
                  <w:sz w:val="24"/>
                  <w:szCs w:val="24"/>
                </w:rPr>
              </m:ctrlPr>
            </m:num>
            <m:den>
              <m:r>
                <m:rPr/>
                <w:rPr>
                  <w:rFonts w:hint="default" w:ascii="Cambria Math" w:hAnsi="Cambria Math" w:eastAsia="宋体"/>
                  <w:sz w:val="24"/>
                  <w:szCs w:val="24"/>
                </w:rPr>
                <m:t>1+</m:t>
              </m:r>
              <m:sSup>
                <m:sSupPr>
                  <m:ctrlPr>
                    <w:rPr>
                      <w:rFonts w:hint="default" w:ascii="Cambria Math" w:hAnsi="Cambria Math" w:eastAsia="宋体"/>
                      <w:sz w:val="24"/>
                      <w:szCs w:val="24"/>
                    </w:rPr>
                  </m:ctrlPr>
                </m:sSupPr>
                <m:e>
                  <m:r>
                    <m:rPr/>
                    <w:rPr>
                      <w:rFonts w:hint="default" w:ascii="Cambria Math" w:hAnsi="Cambria Math" w:eastAsia="宋体"/>
                      <w:sz w:val="24"/>
                      <w:szCs w:val="24"/>
                    </w:rPr>
                    <m:t>e</m:t>
                  </m:r>
                  <m:ctrlPr>
                    <w:rPr>
                      <w:rFonts w:ascii="Cambria Math" w:hAnsi="Cambria Math" w:eastAsia="宋体"/>
                      <w:sz w:val="24"/>
                      <w:szCs w:val="24"/>
                    </w:rPr>
                  </m:ctrlPr>
                </m:e>
                <m:sup>
                  <m:r>
                    <m:rPr/>
                    <w:rPr>
                      <w:rFonts w:hint="default" w:ascii="Cambria Math" w:hAnsi="Cambria Math" w:eastAsia="宋体"/>
                      <w:sz w:val="24"/>
                      <w:szCs w:val="24"/>
                    </w:rPr>
                    <m:t>−0.631</m:t>
                  </m:r>
                  <m:ctrlPr>
                    <w:rPr>
                      <w:rFonts w:ascii="Cambria Math" w:hAnsi="Cambria Math" w:eastAsia="宋体"/>
                      <w:sz w:val="24"/>
                      <w:szCs w:val="24"/>
                    </w:rPr>
                  </m:ctrlPr>
                </m:sup>
              </m:sSup>
              <m:ctrlPr>
                <w:rPr>
                  <w:rFonts w:hint="default" w:ascii="Cambria Math" w:hAnsi="Cambria Math" w:eastAsia="宋体"/>
                  <w:sz w:val="24"/>
                  <w:szCs w:val="24"/>
                </w:rPr>
              </m:ctrlPr>
            </m:den>
          </m:f>
          <m:r>
            <m:rPr/>
            <w:rPr>
              <w:rFonts w:hint="default" w:ascii="Cambria Math" w:hAnsi="Cambria Math" w:eastAsia="宋体"/>
              <w:sz w:val="24"/>
              <w:szCs w:val="24"/>
            </w:rPr>
            <m:t>=0.347</m:t>
          </m:r>
        </m:oMath>
      </m:oMathPara>
    </w:p>
    <w:p w14:paraId="5D8F4720">
      <w:pPr>
        <w:widowControl w:val="0"/>
        <w:numPr>
          <w:ilvl w:val="0"/>
          <w:numId w:val="0"/>
        </w:numPr>
        <w:jc w:val="both"/>
        <w:rPr>
          <w:rFonts w:hint="default" w:hAnsi="Cambria Math" w:eastAsia="宋体" w:cs="宋体"/>
          <w:i w:val="0"/>
          <w:kern w:val="2"/>
          <w:sz w:val="24"/>
          <w:szCs w:val="24"/>
          <w:lang w:val="en-US" w:eastAsia="zh-CN" w:bidi="ar-SA"/>
        </w:rPr>
      </w:pPr>
    </w:p>
    <w:p w14:paraId="46286201">
      <w:pPr>
        <w:numPr>
          <w:ilvl w:val="0"/>
          <w:numId w:val="0"/>
        </w:numPr>
        <w:rPr>
          <w:rFonts w:hint="eastAsia"/>
          <w:sz w:val="24"/>
          <w:szCs w:val="24"/>
          <w:lang w:val="en-US" w:eastAsia="zh-CN"/>
        </w:rPr>
      </w:pPr>
      <w:r>
        <w:rPr>
          <w:rFonts w:hint="eastAsia"/>
          <w:sz w:val="24"/>
          <w:szCs w:val="24"/>
          <w:lang w:val="en-US" w:eastAsia="zh-CN"/>
        </w:rPr>
        <w:t>Predicted probability = 0.347</w:t>
      </w:r>
    </w:p>
    <w:p w14:paraId="50B19B1F">
      <w:pPr>
        <w:numPr>
          <w:ilvl w:val="0"/>
          <w:numId w:val="0"/>
        </w:numPr>
        <w:rPr>
          <w:rFonts w:hint="eastAsia"/>
          <w:sz w:val="24"/>
          <w:szCs w:val="24"/>
          <w:lang w:val="en-US" w:eastAsia="zh-CN"/>
        </w:rPr>
      </w:pPr>
    </w:p>
    <w:p w14:paraId="676FA0D4">
      <w:pPr>
        <w:numPr>
          <w:ilvl w:val="0"/>
          <w:numId w:val="3"/>
        </w:numPr>
        <w:rPr>
          <w:rFonts w:hint="eastAsia"/>
          <w:b/>
          <w:bCs/>
          <w:sz w:val="24"/>
          <w:szCs w:val="24"/>
          <w:lang w:val="en-US" w:eastAsia="zh-CN"/>
        </w:rPr>
      </w:pPr>
      <w:r>
        <w:rPr>
          <w:rFonts w:hint="eastAsia"/>
          <w:b/>
          <w:bCs/>
          <w:sz w:val="24"/>
          <w:szCs w:val="24"/>
          <w:lang w:val="en-US" w:eastAsia="zh-CN"/>
        </w:rPr>
        <w:t>white female</w:t>
      </w:r>
    </w:p>
    <w:p w14:paraId="46B67BE5">
      <w:pPr>
        <w:numPr>
          <w:ilvl w:val="0"/>
          <w:numId w:val="0"/>
        </w:numPr>
        <w:rPr>
          <w:rFonts w:hint="eastAsia" w:hAnsi="Cambria Math" w:eastAsiaTheme="minorEastAsia" w:cstheme="minorBidi"/>
          <w:i w:val="0"/>
          <w:kern w:val="2"/>
          <w:sz w:val="24"/>
          <w:szCs w:val="24"/>
          <w:lang w:val="en-US" w:eastAsia="zh-CN" w:bidi="ar-SA"/>
        </w:rPr>
      </w:pPr>
      <m:oMathPara>
        <m:oMath>
          <m:r>
            <m:rPr/>
            <w:rPr>
              <w:rFonts w:hint="default" w:ascii="Cambria Math" w:hAnsi="Cambria Math" w:eastAsiaTheme="minorEastAsia"/>
              <w:sz w:val="24"/>
              <w:szCs w:val="24"/>
            </w:rPr>
            <m:t>η=−0.631+0.383=−0.249</m:t>
          </m:r>
        </m:oMath>
      </m:oMathPara>
    </w:p>
    <w:p w14:paraId="63B3E689">
      <w:pPr>
        <w:numPr>
          <w:ilvl w:val="0"/>
          <w:numId w:val="0"/>
        </w:numPr>
        <w:rPr>
          <w:rFonts w:hint="eastAsia" w:hAnsi="Cambria Math" w:eastAsiaTheme="minorEastAsia" w:cstheme="minorBidi"/>
          <w:i w:val="0"/>
          <w:kern w:val="2"/>
          <w:sz w:val="24"/>
          <w:szCs w:val="24"/>
          <w:lang w:val="en-US" w:eastAsia="zh-CN" w:bidi="ar-SA"/>
        </w:rPr>
      </w:pPr>
      <m:oMathPara>
        <m:oMath>
          <m:r>
            <m:rPr/>
            <w:rPr>
              <w:rFonts w:hint="default" w:ascii="Cambria Math" w:hAnsi="Cambria Math" w:eastAsiaTheme="minorEastAsia"/>
              <w:sz w:val="24"/>
              <w:szCs w:val="24"/>
            </w:rPr>
            <m:t>p=</m:t>
          </m:r>
          <m:f>
            <m:fPr>
              <m:ctrlPr>
                <w:rPr>
                  <w:rFonts w:hint="default" w:ascii="Cambria Math" w:hAnsi="Cambria Math" w:eastAsiaTheme="minorEastAsia"/>
                  <w:sz w:val="24"/>
                  <w:szCs w:val="24"/>
                </w:rPr>
              </m:ctrlPr>
            </m:fPr>
            <m:num>
              <m:sSup>
                <m:sSupPr>
                  <m:ctrlPr>
                    <w:rPr>
                      <w:rFonts w:hint="default" w:ascii="Cambria Math" w:hAnsi="Cambria Math" w:eastAsiaTheme="minorEastAsia"/>
                      <w:sz w:val="24"/>
                      <w:szCs w:val="24"/>
                    </w:rPr>
                  </m:ctrlPr>
                </m:sSupPr>
                <m:e>
                  <m:r>
                    <m:rPr/>
                    <w:rPr>
                      <w:rFonts w:hint="default" w:ascii="Cambria Math" w:hAnsi="Cambria Math" w:eastAsiaTheme="minorEastAsia"/>
                      <w:sz w:val="24"/>
                      <w:szCs w:val="24"/>
                    </w:rPr>
                    <m:t>e</m:t>
                  </m:r>
                  <m:ctrlPr>
                    <w:rPr>
                      <w:rFonts w:ascii="Cambria Math" w:hAnsi="Cambria Math" w:eastAsiaTheme="minorEastAsia"/>
                      <w:sz w:val="24"/>
                      <w:szCs w:val="24"/>
                    </w:rPr>
                  </m:ctrlPr>
                </m:e>
                <m:sup>
                  <m:r>
                    <m:rPr/>
                    <w:rPr>
                      <w:rFonts w:hint="default" w:ascii="Cambria Math" w:hAnsi="Cambria Math" w:eastAsiaTheme="minorEastAsia"/>
                      <w:sz w:val="24"/>
                      <w:szCs w:val="24"/>
                    </w:rPr>
                    <m:t>−0.249</m:t>
                  </m:r>
                  <m:ctrlPr>
                    <w:rPr>
                      <w:rFonts w:ascii="Cambria Math" w:hAnsi="Cambria Math" w:eastAsiaTheme="minorEastAsia"/>
                      <w:sz w:val="24"/>
                      <w:szCs w:val="24"/>
                    </w:rPr>
                  </m:ctrlPr>
                </m:sup>
              </m:sSup>
              <m:ctrlPr>
                <w:rPr>
                  <w:rFonts w:hint="default" w:ascii="Cambria Math" w:hAnsi="Cambria Math" w:eastAsiaTheme="minorEastAsia"/>
                  <w:sz w:val="24"/>
                  <w:szCs w:val="24"/>
                </w:rPr>
              </m:ctrlPr>
            </m:num>
            <m:den>
              <m:r>
                <m:rPr/>
                <w:rPr>
                  <w:rFonts w:hint="default" w:ascii="Cambria Math" w:hAnsi="Cambria Math" w:eastAsiaTheme="minorEastAsia"/>
                  <w:sz w:val="24"/>
                  <w:szCs w:val="24"/>
                </w:rPr>
                <m:t>1+</m:t>
              </m:r>
              <m:sSup>
                <m:sSupPr>
                  <m:ctrlPr>
                    <w:rPr>
                      <w:rFonts w:hint="default" w:ascii="Cambria Math" w:hAnsi="Cambria Math" w:eastAsiaTheme="minorEastAsia"/>
                      <w:sz w:val="24"/>
                      <w:szCs w:val="24"/>
                    </w:rPr>
                  </m:ctrlPr>
                </m:sSupPr>
                <m:e>
                  <m:r>
                    <m:rPr/>
                    <w:rPr>
                      <w:rFonts w:hint="default" w:ascii="Cambria Math" w:hAnsi="Cambria Math" w:eastAsiaTheme="minorEastAsia"/>
                      <w:sz w:val="24"/>
                      <w:szCs w:val="24"/>
                    </w:rPr>
                    <m:t>e</m:t>
                  </m:r>
                  <m:ctrlPr>
                    <w:rPr>
                      <w:rFonts w:ascii="Cambria Math" w:hAnsi="Cambria Math" w:eastAsiaTheme="minorEastAsia"/>
                      <w:sz w:val="24"/>
                      <w:szCs w:val="24"/>
                    </w:rPr>
                  </m:ctrlPr>
                </m:e>
                <m:sup>
                  <m:r>
                    <m:rPr/>
                    <w:rPr>
                      <w:rFonts w:hint="default" w:ascii="Cambria Math" w:hAnsi="Cambria Math" w:eastAsiaTheme="minorEastAsia"/>
                      <w:sz w:val="24"/>
                      <w:szCs w:val="24"/>
                    </w:rPr>
                    <m:t>−0.249</m:t>
                  </m:r>
                  <m:ctrlPr>
                    <w:rPr>
                      <w:rFonts w:ascii="Cambria Math" w:hAnsi="Cambria Math" w:eastAsiaTheme="minorEastAsia"/>
                      <w:sz w:val="24"/>
                      <w:szCs w:val="24"/>
                    </w:rPr>
                  </m:ctrlPr>
                </m:sup>
              </m:sSup>
              <m:ctrlPr>
                <w:rPr>
                  <w:rFonts w:hint="default" w:ascii="Cambria Math" w:hAnsi="Cambria Math" w:eastAsiaTheme="minorEastAsia"/>
                  <w:sz w:val="24"/>
                  <w:szCs w:val="24"/>
                </w:rPr>
              </m:ctrlPr>
            </m:den>
          </m:f>
          <m:r>
            <m:rPr/>
            <w:rPr>
              <w:rFonts w:hint="default" w:ascii="Cambria Math" w:hAnsi="Cambria Math" w:eastAsiaTheme="minorEastAsia"/>
              <w:sz w:val="24"/>
              <w:szCs w:val="24"/>
            </w:rPr>
            <m:t>=0.438</m:t>
          </m:r>
        </m:oMath>
      </m:oMathPara>
    </w:p>
    <w:p w14:paraId="7BDBCEC1">
      <w:pPr>
        <w:numPr>
          <w:ilvl w:val="0"/>
          <w:numId w:val="0"/>
        </w:numPr>
        <w:rPr>
          <w:rFonts w:hint="default" w:hAnsi="Cambria Math" w:eastAsiaTheme="minorEastAsia" w:cstheme="minorBidi"/>
          <w:i w:val="0"/>
          <w:kern w:val="2"/>
          <w:sz w:val="24"/>
          <w:szCs w:val="24"/>
          <w:lang w:val="en-US" w:eastAsia="zh-CN" w:bidi="ar-SA"/>
        </w:rPr>
      </w:pPr>
    </w:p>
    <w:p w14:paraId="07CF24D8">
      <w:pPr>
        <w:numPr>
          <w:ilvl w:val="0"/>
          <w:numId w:val="0"/>
        </w:numPr>
        <w:ind w:leftChars="0"/>
        <w:rPr>
          <w:rFonts w:ascii="宋体" w:hAnsi="宋体" w:eastAsia="宋体" w:cs="宋体"/>
          <w:sz w:val="24"/>
          <w:szCs w:val="24"/>
        </w:rPr>
      </w:pPr>
      <w:r>
        <w:rPr>
          <w:rFonts w:hint="eastAsia"/>
          <w:sz w:val="24"/>
          <w:szCs w:val="24"/>
          <w:lang w:val="en-US" w:eastAsia="zh-CN"/>
        </w:rPr>
        <w:t>Predicted probability = 0.438</w:t>
      </w:r>
    </w:p>
    <w:p w14:paraId="6CC3CB0A">
      <w:pPr>
        <w:numPr>
          <w:ilvl w:val="0"/>
          <w:numId w:val="0"/>
        </w:numPr>
        <w:ind w:leftChars="0"/>
        <w:rPr>
          <w:rFonts w:hint="eastAsia" w:ascii="宋体" w:hAnsi="宋体" w:eastAsia="宋体" w:cs="宋体"/>
          <w:sz w:val="24"/>
          <w:szCs w:val="24"/>
          <w:lang w:val="en-US" w:eastAsia="zh-CN"/>
        </w:rPr>
      </w:pPr>
    </w:p>
    <w:p w14:paraId="38E2CB7A">
      <w:pPr>
        <w:numPr>
          <w:ilvl w:val="0"/>
          <w:numId w:val="3"/>
        </w:numPr>
        <w:ind w:left="0" w:leftChars="0" w:firstLine="0" w:firstLineChars="0"/>
        <w:rPr>
          <w:rFonts w:hint="eastAsia" w:hAnsi="Cambria Math" w:cstheme="minorBidi"/>
          <w:b/>
          <w:bCs/>
          <w:i w:val="0"/>
          <w:kern w:val="2"/>
          <w:sz w:val="24"/>
          <w:szCs w:val="24"/>
          <w:lang w:val="en-US" w:eastAsia="zh-CN" w:bidi="ar-SA"/>
        </w:rPr>
      </w:pPr>
      <w:r>
        <w:rPr>
          <w:rFonts w:hint="eastAsia" w:hAnsi="Cambria Math" w:cstheme="minorBidi"/>
          <w:b/>
          <w:bCs/>
          <w:i w:val="0"/>
          <w:kern w:val="2"/>
          <w:sz w:val="24"/>
          <w:szCs w:val="24"/>
          <w:lang w:val="en-US" w:eastAsia="zh-CN" w:bidi="ar-SA"/>
        </w:rPr>
        <w:t>Hispanic male</w:t>
      </w:r>
    </w:p>
    <w:p w14:paraId="1BD1E1C5">
      <w:pPr>
        <w:numPr>
          <w:ilvl w:val="0"/>
          <w:numId w:val="0"/>
        </w:numPr>
        <w:ind w:leftChars="0"/>
        <w:rPr>
          <w:rFonts w:hint="eastAsia" w:hAnsi="Cambria Math" w:eastAsiaTheme="minorEastAsia" w:cstheme="minorBidi"/>
          <w:i w:val="0"/>
          <w:kern w:val="2"/>
          <w:sz w:val="24"/>
          <w:szCs w:val="24"/>
          <w:lang w:val="en-US" w:eastAsia="zh-CN" w:bidi="ar-SA"/>
        </w:rPr>
      </w:pPr>
      <m:oMathPara>
        <m:oMath>
          <m:r>
            <m:rPr/>
            <w:rPr>
              <w:rFonts w:hint="default" w:ascii="Cambria Math" w:hAnsi="Cambria Math" w:eastAsiaTheme="minorEastAsia"/>
              <w:sz w:val="24"/>
              <w:szCs w:val="24"/>
            </w:rPr>
            <m:t>η=−0.631−0.084=−0.716</m:t>
          </m:r>
        </m:oMath>
      </m:oMathPara>
    </w:p>
    <w:p w14:paraId="173833F6">
      <w:pPr>
        <w:numPr>
          <w:ilvl w:val="0"/>
          <w:numId w:val="0"/>
        </w:numPr>
        <w:ind w:leftChars="0"/>
        <w:rPr>
          <w:rFonts w:hint="eastAsia" w:hAnsi="Cambria Math" w:eastAsiaTheme="minorEastAsia" w:cstheme="minorBidi"/>
          <w:i w:val="0"/>
          <w:kern w:val="2"/>
          <w:sz w:val="24"/>
          <w:szCs w:val="24"/>
          <w:lang w:val="en-US" w:eastAsia="zh-CN" w:bidi="ar-SA"/>
        </w:rPr>
      </w:pPr>
      <m:oMathPara>
        <m:oMath>
          <m:r>
            <m:rPr/>
            <w:rPr>
              <w:rFonts w:hint="default" w:ascii="Cambria Math" w:hAnsi="Cambria Math" w:eastAsiaTheme="minorEastAsia"/>
              <w:sz w:val="24"/>
              <w:szCs w:val="24"/>
            </w:rPr>
            <m:t>p=</m:t>
          </m:r>
          <m:f>
            <m:fPr>
              <m:ctrlPr>
                <w:rPr>
                  <w:rFonts w:hint="default" w:ascii="Cambria Math" w:hAnsi="Cambria Math" w:eastAsiaTheme="minorEastAsia"/>
                  <w:sz w:val="24"/>
                  <w:szCs w:val="24"/>
                </w:rPr>
              </m:ctrlPr>
            </m:fPr>
            <m:num>
              <m:sSup>
                <m:sSupPr>
                  <m:ctrlPr>
                    <w:rPr>
                      <w:rFonts w:hint="default" w:ascii="Cambria Math" w:hAnsi="Cambria Math" w:eastAsiaTheme="minorEastAsia"/>
                      <w:sz w:val="24"/>
                      <w:szCs w:val="24"/>
                    </w:rPr>
                  </m:ctrlPr>
                </m:sSupPr>
                <m:e>
                  <m:r>
                    <m:rPr/>
                    <w:rPr>
                      <w:rFonts w:hint="default" w:ascii="Cambria Math" w:hAnsi="Cambria Math" w:eastAsiaTheme="minorEastAsia"/>
                      <w:sz w:val="24"/>
                      <w:szCs w:val="24"/>
                    </w:rPr>
                    <m:t>e</m:t>
                  </m:r>
                  <m:ctrlPr>
                    <w:rPr>
                      <w:rFonts w:ascii="Cambria Math" w:hAnsi="Cambria Math" w:eastAsiaTheme="minorEastAsia"/>
                      <w:sz w:val="24"/>
                      <w:szCs w:val="24"/>
                    </w:rPr>
                  </m:ctrlPr>
                </m:e>
                <m:sup>
                  <m:r>
                    <m:rPr/>
                    <w:rPr>
                      <w:rFonts w:hint="default" w:ascii="Cambria Math" w:hAnsi="Cambria Math" w:eastAsiaTheme="minorEastAsia"/>
                      <w:sz w:val="24"/>
                      <w:szCs w:val="24"/>
                    </w:rPr>
                    <m:t>−0.716</m:t>
                  </m:r>
                  <m:ctrlPr>
                    <w:rPr>
                      <w:rFonts w:ascii="Cambria Math" w:hAnsi="Cambria Math" w:eastAsiaTheme="minorEastAsia"/>
                      <w:sz w:val="24"/>
                      <w:szCs w:val="24"/>
                    </w:rPr>
                  </m:ctrlPr>
                </m:sup>
              </m:sSup>
              <m:ctrlPr>
                <w:rPr>
                  <w:rFonts w:hint="default" w:ascii="Cambria Math" w:hAnsi="Cambria Math" w:eastAsiaTheme="minorEastAsia"/>
                  <w:sz w:val="24"/>
                  <w:szCs w:val="24"/>
                </w:rPr>
              </m:ctrlPr>
            </m:num>
            <m:den>
              <m:r>
                <m:rPr/>
                <w:rPr>
                  <w:rFonts w:hint="default" w:ascii="Cambria Math" w:hAnsi="Cambria Math" w:eastAsiaTheme="minorEastAsia"/>
                  <w:sz w:val="24"/>
                  <w:szCs w:val="24"/>
                </w:rPr>
                <m:t>1+</m:t>
              </m:r>
              <m:sSup>
                <m:sSupPr>
                  <m:ctrlPr>
                    <w:rPr>
                      <w:rFonts w:hint="default" w:ascii="Cambria Math" w:hAnsi="Cambria Math" w:eastAsiaTheme="minorEastAsia"/>
                      <w:sz w:val="24"/>
                      <w:szCs w:val="24"/>
                    </w:rPr>
                  </m:ctrlPr>
                </m:sSupPr>
                <m:e>
                  <m:r>
                    <m:rPr/>
                    <w:rPr>
                      <w:rFonts w:hint="default" w:ascii="Cambria Math" w:hAnsi="Cambria Math" w:eastAsiaTheme="minorEastAsia"/>
                      <w:sz w:val="24"/>
                      <w:szCs w:val="24"/>
                    </w:rPr>
                    <m:t>e</m:t>
                  </m:r>
                  <m:ctrlPr>
                    <w:rPr>
                      <w:rFonts w:ascii="Cambria Math" w:hAnsi="Cambria Math" w:eastAsiaTheme="minorEastAsia"/>
                      <w:sz w:val="24"/>
                      <w:szCs w:val="24"/>
                    </w:rPr>
                  </m:ctrlPr>
                </m:e>
                <m:sup>
                  <m:r>
                    <m:rPr/>
                    <w:rPr>
                      <w:rFonts w:hint="default" w:ascii="Cambria Math" w:hAnsi="Cambria Math" w:eastAsiaTheme="minorEastAsia"/>
                      <w:sz w:val="24"/>
                      <w:szCs w:val="24"/>
                    </w:rPr>
                    <m:t>−0.716</m:t>
                  </m:r>
                  <m:ctrlPr>
                    <w:rPr>
                      <w:rFonts w:ascii="Cambria Math" w:hAnsi="Cambria Math" w:eastAsiaTheme="minorEastAsia"/>
                      <w:sz w:val="24"/>
                      <w:szCs w:val="24"/>
                    </w:rPr>
                  </m:ctrlPr>
                </m:sup>
              </m:sSup>
              <m:ctrlPr>
                <w:rPr>
                  <w:rFonts w:hint="default" w:ascii="Cambria Math" w:hAnsi="Cambria Math" w:eastAsiaTheme="minorEastAsia"/>
                  <w:sz w:val="24"/>
                  <w:szCs w:val="24"/>
                </w:rPr>
              </m:ctrlPr>
            </m:den>
          </m:f>
          <m:r>
            <m:rPr/>
            <w:rPr>
              <w:rFonts w:hint="default" w:ascii="Cambria Math" w:hAnsi="Cambria Math" w:eastAsiaTheme="minorEastAsia"/>
              <w:sz w:val="24"/>
              <w:szCs w:val="24"/>
            </w:rPr>
            <m:t>=0.328</m:t>
          </m:r>
        </m:oMath>
      </m:oMathPara>
    </w:p>
    <w:p w14:paraId="0A16480A">
      <w:pPr>
        <w:numPr>
          <w:ilvl w:val="0"/>
          <w:numId w:val="0"/>
        </w:numPr>
        <w:ind w:left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Predicted probability = 0.328</w:t>
      </w:r>
    </w:p>
    <w:p w14:paraId="45CA698B">
      <w:pPr>
        <w:numPr>
          <w:ilvl w:val="0"/>
          <w:numId w:val="0"/>
        </w:numPr>
        <w:ind w:leftChars="0"/>
        <w:rPr>
          <w:rFonts w:hint="default" w:ascii="宋体" w:hAnsi="宋体" w:eastAsia="宋体" w:cs="宋体"/>
          <w:sz w:val="24"/>
          <w:szCs w:val="24"/>
          <w:lang w:val="en-US" w:eastAsia="zh-CN"/>
        </w:rPr>
      </w:pPr>
    </w:p>
    <w:p w14:paraId="0B899487">
      <w:pPr>
        <w:numPr>
          <w:ilvl w:val="0"/>
          <w:numId w:val="3"/>
        </w:numPr>
        <w:ind w:left="0" w:leftChars="0" w:firstLine="0" w:firstLineChars="0"/>
        <w:rPr>
          <w:rFonts w:hint="default" w:hAnsi="Cambria Math" w:cstheme="minorBidi"/>
          <w:b/>
          <w:bCs/>
          <w:i w:val="0"/>
          <w:kern w:val="2"/>
          <w:sz w:val="24"/>
          <w:szCs w:val="24"/>
          <w:lang w:val="en-US" w:eastAsia="zh-CN" w:bidi="ar-SA"/>
        </w:rPr>
      </w:pPr>
      <w:r>
        <w:rPr>
          <w:rFonts w:hint="eastAsia" w:hAnsi="Cambria Math" w:cstheme="minorBidi"/>
          <w:b/>
          <w:bCs/>
          <w:i w:val="0"/>
          <w:kern w:val="2"/>
          <w:sz w:val="24"/>
          <w:szCs w:val="24"/>
          <w:lang w:val="en-US" w:eastAsia="zh-CN" w:bidi="ar-SA"/>
        </w:rPr>
        <w:t>Hispanic female</w:t>
      </w:r>
    </w:p>
    <w:p w14:paraId="502297E5">
      <w:pPr>
        <w:numPr>
          <w:ilvl w:val="0"/>
          <w:numId w:val="0"/>
        </w:numPr>
        <w:ind w:leftChars="0"/>
        <w:rPr>
          <w:rFonts w:hint="eastAsia" w:hAnsi="Cambria Math" w:eastAsiaTheme="minorEastAsia" w:cstheme="minorBidi"/>
          <w:i w:val="0"/>
          <w:kern w:val="2"/>
          <w:sz w:val="24"/>
          <w:szCs w:val="24"/>
          <w:lang w:val="en-US" w:eastAsia="zh-CN" w:bidi="ar-SA"/>
        </w:rPr>
      </w:pPr>
      <m:oMathPara>
        <m:oMath>
          <m:r>
            <m:rPr/>
            <w:rPr>
              <w:rFonts w:hint="default" w:ascii="Cambria Math" w:hAnsi="Cambria Math" w:eastAsiaTheme="minorEastAsia"/>
              <w:sz w:val="24"/>
              <w:szCs w:val="24"/>
            </w:rPr>
            <m:t>η=−0.631+0.383−0.084=−0.333</m:t>
          </m:r>
        </m:oMath>
      </m:oMathPara>
    </w:p>
    <w:p w14:paraId="505215C4">
      <w:pPr>
        <w:numPr>
          <w:ilvl w:val="0"/>
          <w:numId w:val="0"/>
        </w:numPr>
        <w:ind w:leftChars="0"/>
        <w:rPr>
          <w:rFonts w:hint="eastAsia" w:hAnsi="Cambria Math" w:eastAsiaTheme="minorEastAsia" w:cstheme="minorBidi"/>
          <w:i w:val="0"/>
          <w:kern w:val="2"/>
          <w:sz w:val="24"/>
          <w:szCs w:val="24"/>
          <w:lang w:val="en-US" w:eastAsia="zh-CN" w:bidi="ar-SA"/>
        </w:rPr>
      </w:pPr>
      <m:oMathPara>
        <m:oMath>
          <m:r>
            <m:rPr/>
            <w:rPr>
              <w:rFonts w:hint="default" w:ascii="Cambria Math" w:hAnsi="Cambria Math" w:eastAsiaTheme="minorEastAsia"/>
              <w:sz w:val="24"/>
              <w:szCs w:val="24"/>
            </w:rPr>
            <m:t>p=</m:t>
          </m:r>
          <m:f>
            <m:fPr>
              <m:ctrlPr>
                <w:rPr>
                  <w:rFonts w:hint="default" w:ascii="Cambria Math" w:hAnsi="Cambria Math" w:eastAsiaTheme="minorEastAsia"/>
                  <w:sz w:val="24"/>
                  <w:szCs w:val="24"/>
                </w:rPr>
              </m:ctrlPr>
            </m:fPr>
            <m:num>
              <m:sSup>
                <m:sSupPr>
                  <m:ctrlPr>
                    <w:rPr>
                      <w:rFonts w:hint="default" w:ascii="Cambria Math" w:hAnsi="Cambria Math" w:eastAsiaTheme="minorEastAsia"/>
                      <w:sz w:val="24"/>
                      <w:szCs w:val="24"/>
                    </w:rPr>
                  </m:ctrlPr>
                </m:sSupPr>
                <m:e>
                  <m:r>
                    <m:rPr/>
                    <w:rPr>
                      <w:rFonts w:hint="default" w:ascii="Cambria Math" w:hAnsi="Cambria Math" w:eastAsiaTheme="minorEastAsia"/>
                      <w:sz w:val="24"/>
                      <w:szCs w:val="24"/>
                    </w:rPr>
                    <m:t>e</m:t>
                  </m:r>
                  <m:ctrlPr>
                    <w:rPr>
                      <w:rFonts w:ascii="Cambria Math" w:hAnsi="Cambria Math" w:eastAsiaTheme="minorEastAsia"/>
                      <w:sz w:val="24"/>
                      <w:szCs w:val="24"/>
                    </w:rPr>
                  </m:ctrlPr>
                </m:e>
                <m:sup>
                  <m:r>
                    <m:rPr/>
                    <w:rPr>
                      <w:rFonts w:hint="default" w:ascii="Cambria Math" w:hAnsi="Cambria Math" w:eastAsiaTheme="minorEastAsia"/>
                      <w:sz w:val="24"/>
                      <w:szCs w:val="24"/>
                    </w:rPr>
                    <m:t>−0.333</m:t>
                  </m:r>
                  <m:ctrlPr>
                    <w:rPr>
                      <w:rFonts w:ascii="Cambria Math" w:hAnsi="Cambria Math" w:eastAsiaTheme="minorEastAsia"/>
                      <w:sz w:val="24"/>
                      <w:szCs w:val="24"/>
                    </w:rPr>
                  </m:ctrlPr>
                </m:sup>
              </m:sSup>
              <m:ctrlPr>
                <w:rPr>
                  <w:rFonts w:hint="default" w:ascii="Cambria Math" w:hAnsi="Cambria Math" w:eastAsiaTheme="minorEastAsia"/>
                  <w:sz w:val="24"/>
                  <w:szCs w:val="24"/>
                </w:rPr>
              </m:ctrlPr>
            </m:num>
            <m:den>
              <m:r>
                <m:rPr/>
                <w:rPr>
                  <w:rFonts w:hint="default" w:ascii="Cambria Math" w:hAnsi="Cambria Math" w:eastAsiaTheme="minorEastAsia"/>
                  <w:sz w:val="24"/>
                  <w:szCs w:val="24"/>
                </w:rPr>
                <m:t>1+</m:t>
              </m:r>
              <m:sSup>
                <m:sSupPr>
                  <m:ctrlPr>
                    <w:rPr>
                      <w:rFonts w:hint="default" w:ascii="Cambria Math" w:hAnsi="Cambria Math" w:eastAsiaTheme="minorEastAsia"/>
                      <w:sz w:val="24"/>
                      <w:szCs w:val="24"/>
                    </w:rPr>
                  </m:ctrlPr>
                </m:sSupPr>
                <m:e>
                  <m:r>
                    <m:rPr/>
                    <w:rPr>
                      <w:rFonts w:hint="default" w:ascii="Cambria Math" w:hAnsi="Cambria Math" w:eastAsiaTheme="minorEastAsia"/>
                      <w:sz w:val="24"/>
                      <w:szCs w:val="24"/>
                    </w:rPr>
                    <m:t>e</m:t>
                  </m:r>
                  <m:ctrlPr>
                    <w:rPr>
                      <w:rFonts w:ascii="Cambria Math" w:hAnsi="Cambria Math" w:eastAsiaTheme="minorEastAsia"/>
                      <w:sz w:val="24"/>
                      <w:szCs w:val="24"/>
                    </w:rPr>
                  </m:ctrlPr>
                </m:e>
                <m:sup>
                  <m:r>
                    <m:rPr/>
                    <w:rPr>
                      <w:rFonts w:hint="default" w:ascii="Cambria Math" w:hAnsi="Cambria Math" w:eastAsiaTheme="minorEastAsia"/>
                      <w:sz w:val="24"/>
                      <w:szCs w:val="24"/>
                    </w:rPr>
                    <m:t>−0.333</m:t>
                  </m:r>
                  <m:ctrlPr>
                    <w:rPr>
                      <w:rFonts w:ascii="Cambria Math" w:hAnsi="Cambria Math" w:eastAsiaTheme="minorEastAsia"/>
                      <w:sz w:val="24"/>
                      <w:szCs w:val="24"/>
                    </w:rPr>
                  </m:ctrlPr>
                </m:sup>
              </m:sSup>
              <m:ctrlPr>
                <w:rPr>
                  <w:rFonts w:hint="default" w:ascii="Cambria Math" w:hAnsi="Cambria Math" w:eastAsiaTheme="minorEastAsia"/>
                  <w:sz w:val="24"/>
                  <w:szCs w:val="24"/>
                </w:rPr>
              </m:ctrlPr>
            </m:den>
          </m:f>
          <m:r>
            <m:rPr/>
            <w:rPr>
              <w:rFonts w:hint="default" w:ascii="Cambria Math" w:hAnsi="Cambria Math" w:eastAsiaTheme="minorEastAsia"/>
              <w:sz w:val="24"/>
              <w:szCs w:val="24"/>
            </w:rPr>
            <m:t>=0.418</m:t>
          </m:r>
        </m:oMath>
      </m:oMathPara>
    </w:p>
    <w:p w14:paraId="4004DF00">
      <w:pPr>
        <w:numPr>
          <w:ilvl w:val="0"/>
          <w:numId w:val="0"/>
        </w:numPr>
        <w:rPr>
          <w:rFonts w:hint="eastAsia"/>
          <w:sz w:val="24"/>
          <w:szCs w:val="24"/>
          <w:lang w:val="en-US" w:eastAsia="zh-CN"/>
        </w:rPr>
      </w:pPr>
      <w:r>
        <w:rPr>
          <w:rFonts w:hint="eastAsia"/>
          <w:sz w:val="24"/>
          <w:szCs w:val="24"/>
          <w:lang w:val="en-US" w:eastAsia="zh-CN"/>
        </w:rPr>
        <w:t>Predicted probability = 0.418</w:t>
      </w:r>
    </w:p>
    <w:p w14:paraId="02C51B1C">
      <w:pPr>
        <w:numPr>
          <w:ilvl w:val="0"/>
          <w:numId w:val="0"/>
        </w:numPr>
        <w:rPr>
          <w:rFonts w:hint="eastAsia"/>
          <w:sz w:val="24"/>
          <w:szCs w:val="24"/>
          <w:lang w:val="en-US" w:eastAsia="zh-CN"/>
        </w:rPr>
      </w:pPr>
    </w:p>
    <w:p w14:paraId="63AA065D">
      <w:pPr>
        <w:numPr>
          <w:ilvl w:val="0"/>
          <w:numId w:val="0"/>
        </w:numPr>
        <w:rPr>
          <w:rFonts w:hint="eastAsia"/>
          <w:sz w:val="24"/>
          <w:szCs w:val="24"/>
          <w:lang w:val="en-US" w:eastAsia="zh-CN"/>
        </w:rPr>
      </w:pPr>
    </w:p>
    <w:p w14:paraId="213285A5">
      <w:pPr>
        <w:numPr>
          <w:ilvl w:val="0"/>
          <w:numId w:val="0"/>
        </w:numPr>
        <w:ind w:leftChars="0"/>
        <w:rPr>
          <w:rFonts w:hint="eastAsia"/>
          <w:lang w:val="en-US" w:eastAsia="zh-CN"/>
        </w:rPr>
      </w:pPr>
    </w:p>
    <w:p w14:paraId="56E4EA5F">
      <w:pPr>
        <w:numPr>
          <w:ilvl w:val="0"/>
          <w:numId w:val="2"/>
        </w:numPr>
        <w:tabs>
          <w:tab w:val="clear" w:pos="312"/>
        </w:tabs>
        <w:ind w:left="0" w:leftChars="0" w:firstLine="0" w:firstLineChars="0"/>
        <w:rPr>
          <w:rFonts w:hint="default"/>
          <w:b w:val="0"/>
          <w:bCs w:val="0"/>
          <w:sz w:val="24"/>
          <w:szCs w:val="24"/>
          <w:lang w:val="en-US" w:eastAsia="zh-CN"/>
        </w:rPr>
      </w:pPr>
      <w:r>
        <w:rPr>
          <w:rFonts w:hint="eastAsia"/>
          <w:b w:val="0"/>
          <w:bCs w:val="0"/>
          <w:sz w:val="24"/>
          <w:szCs w:val="24"/>
          <w:lang w:val="en-US" w:eastAsia="zh-CN"/>
        </w:rPr>
        <w:t>The female coeffient is constant on the log-odds scale, but it is not constant on the probability scale.</w:t>
      </w:r>
    </w:p>
    <w:p w14:paraId="68E06EA6">
      <w:pPr>
        <w:numPr>
          <w:numId w:val="0"/>
        </w:numPr>
        <w:ind w:leftChars="0"/>
        <w:rPr>
          <w:rFonts w:hint="default"/>
          <w:b w:val="0"/>
          <w:bCs w:val="0"/>
          <w:sz w:val="24"/>
          <w:szCs w:val="24"/>
          <w:lang w:val="en-US" w:eastAsia="zh-CN"/>
        </w:rPr>
      </w:pPr>
      <w:r>
        <w:rPr>
          <w:rFonts w:hint="eastAsia"/>
          <w:b w:val="0"/>
          <w:bCs w:val="0"/>
          <w:sz w:val="24"/>
          <w:szCs w:val="24"/>
          <w:lang w:val="en-US" w:eastAsia="zh-CN"/>
        </w:rPr>
        <w:t>For white students, 0.438−0.347=0.091</w:t>
      </w:r>
    </w:p>
    <w:p w14:paraId="36CACDC6">
      <w:pPr>
        <w:numPr>
          <w:numId w:val="0"/>
        </w:numPr>
        <w:ind w:leftChars="0"/>
        <w:rPr>
          <w:rFonts w:hint="eastAsia"/>
          <w:b w:val="0"/>
          <w:bCs w:val="0"/>
          <w:sz w:val="24"/>
          <w:szCs w:val="24"/>
          <w:lang w:val="en-US" w:eastAsia="zh-CN"/>
        </w:rPr>
      </w:pPr>
      <w:r>
        <w:rPr>
          <w:rFonts w:hint="eastAsia"/>
          <w:b w:val="0"/>
          <w:bCs w:val="0"/>
          <w:sz w:val="24"/>
          <w:szCs w:val="24"/>
          <w:lang w:val="en-US" w:eastAsia="zh-CN"/>
        </w:rPr>
        <w:t>For Hispanic students,0.418−0.328=0.090</w:t>
      </w:r>
    </w:p>
    <w:p w14:paraId="09C1E985">
      <w:pPr>
        <w:numPr>
          <w:numId w:val="0"/>
        </w:numPr>
        <w:ind w:leftChars="0"/>
        <w:rPr>
          <w:rFonts w:hint="eastAsia"/>
          <w:b w:val="0"/>
          <w:bCs w:val="0"/>
          <w:sz w:val="24"/>
          <w:szCs w:val="24"/>
          <w:lang w:val="en-US" w:eastAsia="zh-CN"/>
        </w:rPr>
      </w:pPr>
    </w:p>
    <w:p w14:paraId="346CAE91">
      <w:pPr>
        <w:numPr>
          <w:numId w:val="0"/>
        </w:numPr>
        <w:ind w:leftChars="0"/>
        <w:rPr>
          <w:rFonts w:hint="default"/>
          <w:b w:val="0"/>
          <w:bCs w:val="0"/>
          <w:sz w:val="24"/>
          <w:szCs w:val="24"/>
          <w:lang w:val="en-US" w:eastAsia="zh-CN"/>
        </w:rPr>
      </w:pPr>
      <w:r>
        <w:rPr>
          <w:rFonts w:hint="eastAsia"/>
          <w:b w:val="0"/>
          <w:bCs w:val="0"/>
          <w:sz w:val="24"/>
          <w:szCs w:val="24"/>
          <w:lang w:val="en-US" w:eastAsia="zh-CN"/>
        </w:rPr>
        <w:t>being female increases the predicted probability of college graduation by about 9.1% for white students and about 9.0% for Hispanic students, which are similar, but not the same as the logistic transformation is nonlinear.</w:t>
      </w:r>
    </w:p>
    <w:p w14:paraId="01BC9488">
      <w:pPr>
        <w:numPr>
          <w:numId w:val="0"/>
        </w:numPr>
        <w:ind w:leftChars="0"/>
        <w:rPr>
          <w:rFonts w:hint="eastAsia"/>
          <w:b/>
          <w:bCs/>
          <w:sz w:val="24"/>
          <w:szCs w:val="24"/>
          <w:lang w:val="en-US" w:eastAsia="zh-CN"/>
        </w:rPr>
      </w:pPr>
    </w:p>
    <w:p w14:paraId="392A5DAC">
      <w:pPr>
        <w:numPr>
          <w:numId w:val="0"/>
        </w:numPr>
        <w:ind w:leftChars="0"/>
        <w:rPr>
          <w:rFonts w:hint="eastAsia"/>
          <w:b/>
          <w:bCs/>
          <w:sz w:val="24"/>
          <w:szCs w:val="24"/>
          <w:lang w:val="en-US" w:eastAsia="zh-CN"/>
        </w:rPr>
      </w:pPr>
      <w:r>
        <w:rPr>
          <w:rFonts w:hint="eastAsia"/>
          <w:b/>
          <w:bCs/>
          <w:sz w:val="24"/>
          <w:szCs w:val="24"/>
          <w:lang w:val="en-US" w:eastAsia="zh-CN"/>
        </w:rPr>
        <w:t>4.Catholic school effects</w:t>
      </w:r>
    </w:p>
    <w:p w14:paraId="286F345D">
      <w:pPr>
        <w:numPr>
          <w:numId w:val="0"/>
        </w:numPr>
        <w:ind w:leftChars="0"/>
        <w:rPr>
          <w:rFonts w:hint="eastAsia"/>
          <w:lang w:val="en-US" w:eastAsia="zh-CN"/>
        </w:rPr>
      </w:pPr>
      <w:r>
        <w:drawing>
          <wp:inline distT="0" distB="0" distL="114300" distR="114300">
            <wp:extent cx="4380865" cy="8611235"/>
            <wp:effectExtent l="0" t="0" r="635" b="1206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4380865" cy="8611235"/>
                    </a:xfrm>
                    <a:prstGeom prst="rect">
                      <a:avLst/>
                    </a:prstGeom>
                    <a:noFill/>
                    <a:ln>
                      <a:noFill/>
                    </a:ln>
                  </pic:spPr>
                </pic:pic>
              </a:graphicData>
            </a:graphic>
          </wp:inline>
        </w:drawing>
      </w:r>
    </w:p>
    <w:p w14:paraId="7F7321DC">
      <w:pPr>
        <w:pStyle w:val="2"/>
        <w:keepNext w:val="0"/>
        <w:keepLines w:val="0"/>
        <w:widowControl/>
        <w:suppressLineNumbers w:val="0"/>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The coefficient for CATHOLIC is positive (β= 0.425), indicating that attending a Catholic school is associated with higher odds of college graduation. Specifically, the odds of graduating from college are about 1.53 times higher for students attending Catholic schools compared to non-Catholic schools, holding other variables constant.</w:t>
      </w:r>
    </w:p>
    <w:p w14:paraId="779DE25E">
      <w:pPr>
        <w:pStyle w:val="2"/>
        <w:keepNext w:val="0"/>
        <w:keepLines w:val="0"/>
        <w:widowControl/>
        <w:suppressLineNumbers w:val="0"/>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However, this effect is not statistically significant (p = 0.216), and the confidence interval includes 1. Therefore, we cannot conclude that attending a Catholic school has a statistically significant effect on college graduation rates after controlling for school-level characteristics.</w:t>
      </w:r>
    </w:p>
    <w:p w14:paraId="4FE719FE">
      <w:pPr>
        <w:pStyle w:val="2"/>
        <w:keepNext w:val="0"/>
        <w:keepLines w:val="0"/>
        <w:widowControl/>
        <w:suppressLineNumbers w:val="0"/>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5.</w:t>
      </w:r>
    </w:p>
    <w:p w14:paraId="6A956136">
      <w:pPr>
        <w:pStyle w:val="2"/>
        <w:keepNext w:val="0"/>
        <w:keepLines w:val="0"/>
        <w:widowControl/>
        <w:suppressLineNumbers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C</w:t>
      </w:r>
      <w:r>
        <w:rPr>
          <w:rFonts w:hint="eastAsia" w:asciiTheme="minorHAnsi" w:hAnsiTheme="minorHAnsi" w:eastAsiaTheme="minorEastAsia" w:cstheme="minorBidi"/>
          <w:kern w:val="2"/>
          <w:sz w:val="24"/>
          <w:szCs w:val="24"/>
          <w:lang w:val="en-US" w:eastAsia="zh-CN" w:bidi="ar-SA"/>
        </w:rPr>
        <w:t>ollege graduation is strongly associated with student characteristics.Female students, Asian students, and students with higher BYSES have higher predicted odds of earning a BA degree. In the schoole level model, attending a Catholic high school has a positive estimated association with college graduation, but the effect is not statiscally significant.</w:t>
      </w:r>
    </w:p>
    <w:p w14:paraId="5C220465">
      <w:pPr>
        <w:pStyle w:val="2"/>
        <w:keepNext w:val="0"/>
        <w:keepLines w:val="0"/>
        <w:widowControl/>
        <w:suppressLineNumbers w:val="0"/>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Upon the population average model, the coefficient for catholic is 0.425, and the odds ratio is 1.53, which means that students attending Catholic school are estimated to have about 1.53 times the odds of college graduation compared to students attending non-Catholic schools, holding the school-level controls constant. However, the effect is not statiscally significant, so it should be interpreted cautiouslu.</w:t>
      </w:r>
    </w:p>
    <w:p w14:paraId="30324400">
      <w:pPr>
        <w:pStyle w:val="2"/>
        <w:keepNext w:val="0"/>
        <w:keepLines w:val="0"/>
        <w:widowControl/>
        <w:suppressLineNumbers w:val="0"/>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For a reference student with all other predictors set to 0, the predicted probability in a non-Catholic school is p0=0.381. For the same student in a Catholic school, p1=0.485. and the change is 0.104.</w:t>
      </w:r>
    </w:p>
    <w:p w14:paraId="51A4293B">
      <w:pPr>
        <w:pStyle w:val="2"/>
        <w:keepNext w:val="0"/>
        <w:keepLines w:val="0"/>
        <w:widowControl/>
        <w:suppressLineNumbers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So attending a Catholic high school is associated with 10.4% increase in the probability of eventually obtaining a BA degree for this reference student. Again, beacuse the Catholic coefficient is not statiscally signifant, this should not be interpreted as strong evidence of a Catholic school effect.</w:t>
      </w:r>
    </w:p>
    <w:p w14:paraId="04F63DF0">
      <w:pPr>
        <w:pStyle w:val="2"/>
        <w:keepNext w:val="0"/>
        <w:keepLines w:val="0"/>
        <w:widowControl/>
        <w:numPr>
          <w:numId w:val="0"/>
        </w:numPr>
        <w:suppressLineNumbers w:val="0"/>
        <w:spacing w:before="0" w:beforeAutospacing="1" w:after="0" w:afterAutospacing="1"/>
        <w:ind w:right="0" w:rightChars="0"/>
        <w:jc w:val="left"/>
        <w:rPr>
          <w:rFonts w:hint="eastAsia" w:ascii="宋体" w:hAnsi="宋体" w:eastAsia="宋体" w:cs="宋体"/>
          <w:sz w:val="24"/>
          <w:szCs w:val="24"/>
          <w:lang w:val="en-US" w:eastAsia="zh-CN"/>
        </w:rPr>
      </w:pPr>
    </w:p>
    <w:p w14:paraId="53D8E903">
      <w:pPr>
        <w:pStyle w:val="2"/>
        <w:keepNext w:val="0"/>
        <w:keepLines w:val="0"/>
        <w:widowControl/>
        <w:numPr>
          <w:numId w:val="0"/>
        </w:numPr>
        <w:suppressLineNumbers w:val="0"/>
        <w:spacing w:before="0" w:beforeAutospacing="1" w:after="0" w:afterAutospacing="1"/>
        <w:ind w:right="0" w:rightChars="0"/>
        <w:jc w:val="left"/>
        <w:rPr>
          <w:rFonts w:hint="default" w:ascii="Cambria Math" w:hAnsi="Cambria Math" w:eastAsia="宋体" w:cs="宋体"/>
          <w:sz w:val="24"/>
          <w:szCs w:val="24"/>
          <w:lang w:val="en-US" w:eastAsia="zh-CN"/>
          <w:oMath/>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entury Schoolbook">
    <w:panose1 w:val="02040604050505020304"/>
    <w:charset w:val="00"/>
    <w:family w:val="roman"/>
    <w:pitch w:val="default"/>
    <w:sig w:usb0="00000287" w:usb1="00000000" w:usb2="00000000" w:usb3="00000000" w:csb0="200000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4600B"/>
    <w:multiLevelType w:val="singleLevel"/>
    <w:tmpl w:val="3DE4600B"/>
    <w:lvl w:ilvl="0" w:tentative="0">
      <w:start w:val="1"/>
      <w:numFmt w:val="decimal"/>
      <w:suff w:val="space"/>
      <w:lvlText w:val="%1."/>
      <w:lvlJc w:val="left"/>
    </w:lvl>
  </w:abstractNum>
  <w:abstractNum w:abstractNumId="1">
    <w:nsid w:val="500BDDF6"/>
    <w:multiLevelType w:val="singleLevel"/>
    <w:tmpl w:val="500BDDF6"/>
    <w:lvl w:ilvl="0" w:tentative="0">
      <w:start w:val="2"/>
      <w:numFmt w:val="upperLetter"/>
      <w:lvlText w:val="%1."/>
      <w:lvlJc w:val="left"/>
      <w:pPr>
        <w:tabs>
          <w:tab w:val="left" w:pos="312"/>
        </w:tabs>
      </w:pPr>
    </w:lvl>
  </w:abstractNum>
  <w:abstractNum w:abstractNumId="2">
    <w:nsid w:val="50513ABF"/>
    <w:multiLevelType w:val="singleLevel"/>
    <w:tmpl w:val="50513ABF"/>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FF0D2F"/>
    <w:rsid w:val="02863628"/>
    <w:rsid w:val="04301080"/>
    <w:rsid w:val="07241C47"/>
    <w:rsid w:val="075220F4"/>
    <w:rsid w:val="0D1E259E"/>
    <w:rsid w:val="0D58062B"/>
    <w:rsid w:val="0DB6192E"/>
    <w:rsid w:val="0EEE5E2D"/>
    <w:rsid w:val="10196798"/>
    <w:rsid w:val="107F195B"/>
    <w:rsid w:val="14A423A8"/>
    <w:rsid w:val="154020D1"/>
    <w:rsid w:val="15A553D6"/>
    <w:rsid w:val="17765EDB"/>
    <w:rsid w:val="1B4471E0"/>
    <w:rsid w:val="1BA535D6"/>
    <w:rsid w:val="1CFF0D2F"/>
    <w:rsid w:val="1E7F620A"/>
    <w:rsid w:val="20746C50"/>
    <w:rsid w:val="23BC326A"/>
    <w:rsid w:val="24523BCF"/>
    <w:rsid w:val="28125B4F"/>
    <w:rsid w:val="2E334936"/>
    <w:rsid w:val="30EA7003"/>
    <w:rsid w:val="333E79C9"/>
    <w:rsid w:val="35C24BC6"/>
    <w:rsid w:val="376B2EA8"/>
    <w:rsid w:val="38B5763C"/>
    <w:rsid w:val="399A5E03"/>
    <w:rsid w:val="39DF5AAD"/>
    <w:rsid w:val="3C2E0626"/>
    <w:rsid w:val="3D141AAB"/>
    <w:rsid w:val="3D24407E"/>
    <w:rsid w:val="406D70B3"/>
    <w:rsid w:val="43DF6CA5"/>
    <w:rsid w:val="4409344C"/>
    <w:rsid w:val="473A6980"/>
    <w:rsid w:val="47811F51"/>
    <w:rsid w:val="48802209"/>
    <w:rsid w:val="4C417F01"/>
    <w:rsid w:val="4D875CCA"/>
    <w:rsid w:val="4DC145FA"/>
    <w:rsid w:val="50DB6B76"/>
    <w:rsid w:val="54EC572E"/>
    <w:rsid w:val="550A61A2"/>
    <w:rsid w:val="55335A2B"/>
    <w:rsid w:val="57610B0A"/>
    <w:rsid w:val="57763155"/>
    <w:rsid w:val="5794182D"/>
    <w:rsid w:val="5C5F68AD"/>
    <w:rsid w:val="5D062EBD"/>
    <w:rsid w:val="625B7322"/>
    <w:rsid w:val="69564C63"/>
    <w:rsid w:val="69834FD6"/>
    <w:rsid w:val="69FA7C16"/>
    <w:rsid w:val="6C2E276F"/>
    <w:rsid w:val="6D4551AE"/>
    <w:rsid w:val="6E8B2C58"/>
    <w:rsid w:val="6F27734B"/>
    <w:rsid w:val="6F977CB5"/>
    <w:rsid w:val="70C57923"/>
    <w:rsid w:val="79B672FA"/>
    <w:rsid w:val="79C943F8"/>
    <w:rsid w:val="7A26386C"/>
    <w:rsid w:val="7B16616D"/>
    <w:rsid w:val="7E37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chart" Target="charts/chart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dmin\Desktop\assignment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Predicted Math Achievement over Time (by Race)</a:t>
            </a:r>
          </a:p>
        </c:rich>
      </c:tx>
      <c:layout/>
      <c:overlay val="0"/>
      <c:spPr>
        <a:noFill/>
        <a:ln>
          <a:noFill/>
        </a:ln>
        <a:effectLst/>
      </c:spPr>
    </c:title>
    <c:autoTitleDeleted val="0"/>
    <c:plotArea>
      <c:layout/>
      <c:lineChart>
        <c:grouping val="standard"/>
        <c:varyColors val="0"/>
        <c:ser>
          <c:idx val="1"/>
          <c:order val="1"/>
          <c:tx>
            <c:strRef>
              <c:f>[assignment2.xlsx]Sheet1!$B$1</c:f>
              <c:strCache>
                <c:ptCount val="1"/>
                <c:pt idx="0">
                  <c:v>White</c:v>
                </c:pt>
              </c:strCache>
            </c:strRef>
          </c:tx>
          <c:spPr>
            <a:ln w="28575" cap="rnd">
              <a:solidFill>
                <a:schemeClr val="accent2"/>
              </a:solidFill>
              <a:round/>
            </a:ln>
            <a:effectLst/>
          </c:spPr>
          <c:marker>
            <c:symbol val="none"/>
          </c:marker>
          <c:dLbls>
            <c:delete val="1"/>
          </c:dLbls>
          <c:cat>
            <c:numRef>
              <c:f>[assignment2.xlsx]Sheet1!$A$2:$A$6</c:f>
              <c:numCache>
                <c:formatCode>General</c:formatCode>
                <c:ptCount val="5"/>
                <c:pt idx="0">
                  <c:v>-2</c:v>
                </c:pt>
                <c:pt idx="1">
                  <c:v>-1</c:v>
                </c:pt>
                <c:pt idx="2">
                  <c:v>0</c:v>
                </c:pt>
                <c:pt idx="3">
                  <c:v>1</c:v>
                </c:pt>
                <c:pt idx="4">
                  <c:v>2</c:v>
                </c:pt>
              </c:numCache>
            </c:numRef>
          </c:cat>
          <c:val>
            <c:numRef>
              <c:f>[assignment2.xlsx]Sheet1!$B$2:$B$6</c:f>
              <c:numCache>
                <c:formatCode>General</c:formatCode>
                <c:ptCount val="5"/>
                <c:pt idx="0">
                  <c:v>-2.17178</c:v>
                </c:pt>
                <c:pt idx="1">
                  <c:v>-1.15717</c:v>
                </c:pt>
                <c:pt idx="2">
                  <c:v>-0.2615</c:v>
                </c:pt>
                <c:pt idx="3">
                  <c:v>0.51523</c:v>
                </c:pt>
                <c:pt idx="4">
                  <c:v>1.17302</c:v>
                </c:pt>
              </c:numCache>
            </c:numRef>
          </c:val>
          <c:smooth val="0"/>
        </c:ser>
        <c:ser>
          <c:idx val="2"/>
          <c:order val="2"/>
          <c:tx>
            <c:strRef>
              <c:f>[assignment2.xlsx]Sheet1!$C$1</c:f>
              <c:strCache>
                <c:ptCount val="1"/>
                <c:pt idx="0">
                  <c:v>Black</c:v>
                </c:pt>
              </c:strCache>
            </c:strRef>
          </c:tx>
          <c:spPr>
            <a:ln w="28575" cap="rnd">
              <a:solidFill>
                <a:schemeClr val="accent3"/>
              </a:solidFill>
              <a:round/>
            </a:ln>
            <a:effectLst/>
          </c:spPr>
          <c:marker>
            <c:symbol val="none"/>
          </c:marker>
          <c:dLbls>
            <c:delete val="1"/>
          </c:dLbls>
          <c:cat>
            <c:numRef>
              <c:f>[assignment2.xlsx]Sheet1!$A$2:$A$6</c:f>
              <c:numCache>
                <c:formatCode>General</c:formatCode>
                <c:ptCount val="5"/>
                <c:pt idx="0">
                  <c:v>-2</c:v>
                </c:pt>
                <c:pt idx="1">
                  <c:v>-1</c:v>
                </c:pt>
                <c:pt idx="2">
                  <c:v>0</c:v>
                </c:pt>
                <c:pt idx="3">
                  <c:v>1</c:v>
                </c:pt>
                <c:pt idx="4">
                  <c:v>2</c:v>
                </c:pt>
              </c:numCache>
            </c:numRef>
          </c:cat>
          <c:val>
            <c:numRef>
              <c:f>[assignment2.xlsx]Sheet1!$C$2:$C$6</c:f>
              <c:numCache>
                <c:formatCode>General</c:formatCode>
                <c:ptCount val="5"/>
                <c:pt idx="0">
                  <c:v>-2.58334</c:v>
                </c:pt>
                <c:pt idx="1">
                  <c:v>-1.69031</c:v>
                </c:pt>
                <c:pt idx="2">
                  <c:v>-0.8795</c:v>
                </c:pt>
                <c:pt idx="3">
                  <c:v>-0.15091</c:v>
                </c:pt>
                <c:pt idx="4">
                  <c:v>0.49546</c:v>
                </c:pt>
              </c:numCache>
            </c:numRef>
          </c:val>
          <c:smooth val="0"/>
        </c:ser>
        <c:ser>
          <c:idx val="3"/>
          <c:order val="3"/>
          <c:tx>
            <c:strRef>
              <c:f>[assignment2.xlsx]Sheet1!$D$1</c:f>
              <c:strCache>
                <c:ptCount val="1"/>
                <c:pt idx="0">
                  <c:v>Hispanic</c:v>
                </c:pt>
              </c:strCache>
            </c:strRef>
          </c:tx>
          <c:spPr>
            <a:ln w="28575" cap="rnd">
              <a:solidFill>
                <a:schemeClr val="accent4"/>
              </a:solidFill>
              <a:round/>
            </a:ln>
            <a:effectLst/>
          </c:spPr>
          <c:marker>
            <c:symbol val="none"/>
          </c:marker>
          <c:dLbls>
            <c:delete val="1"/>
          </c:dLbls>
          <c:cat>
            <c:numRef>
              <c:f>[assignment2.xlsx]Sheet1!$A$2:$A$6</c:f>
              <c:numCache>
                <c:formatCode>General</c:formatCode>
                <c:ptCount val="5"/>
                <c:pt idx="0">
                  <c:v>-2</c:v>
                </c:pt>
                <c:pt idx="1">
                  <c:v>-1</c:v>
                </c:pt>
                <c:pt idx="2">
                  <c:v>0</c:v>
                </c:pt>
                <c:pt idx="3">
                  <c:v>1</c:v>
                </c:pt>
                <c:pt idx="4">
                  <c:v>2</c:v>
                </c:pt>
              </c:numCache>
            </c:numRef>
          </c:cat>
          <c:val>
            <c:numRef>
              <c:f>[assignment2.xlsx]Sheet1!$D$2:$D$6</c:f>
              <c:numCache>
                <c:formatCode>General</c:formatCode>
                <c:ptCount val="5"/>
                <c:pt idx="0">
                  <c:v>-2.6037</c:v>
                </c:pt>
                <c:pt idx="1">
                  <c:v>-1.57445</c:v>
                </c:pt>
                <c:pt idx="2">
                  <c:v>-0.6533</c:v>
                </c:pt>
                <c:pt idx="3">
                  <c:v>0.15975</c:v>
                </c:pt>
                <c:pt idx="4">
                  <c:v>0.8647</c:v>
                </c:pt>
              </c:numCache>
            </c:numRef>
          </c:val>
          <c:smooth val="0"/>
        </c:ser>
        <c:dLbls>
          <c:showLegendKey val="0"/>
          <c:showVal val="0"/>
          <c:showCatName val="0"/>
          <c:showSerName val="0"/>
          <c:showPercent val="0"/>
          <c:showBubbleSize val="0"/>
        </c:dLbls>
        <c:marker val="0"/>
        <c:smooth val="0"/>
        <c:axId val="250730117"/>
        <c:axId val="857159540"/>
        <c:extLst>
          <c:ext xmlns:c15="http://schemas.microsoft.com/office/drawing/2012/chart" uri="{02D57815-91ED-43cb-92C2-25804820EDAC}">
            <c15:filteredLineSeries>
              <c15:ser>
                <c:idx val="0"/>
                <c:order val="0"/>
                <c:tx>
                  <c:strRef>
                    <c:extLst>
                      <c:ext uri="{02D57815-91ED-43cb-92C2-25804820EDAC}">
                        <c15:formulaRef>
                          <c15:sqref>[assignment2.xlsx]Sheet1!$A$1</c15:sqref>
                        </c15:formulaRef>
                      </c:ext>
                    </c:extLst>
                    <c:strCache>
                      <c:ptCount val="1"/>
                      <c:pt idx="0">
                        <c:v>YEAR</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[assignment2.xlsx]Sheet1!$A$2:$A$6</c15:sqref>
                        </c15:formulaRef>
                      </c:ext>
                    </c:extLst>
                    <c:numCache>
                      <c:formatCode>General</c:formatCode>
                      <c:ptCount val="5"/>
                      <c:pt idx="0">
                        <c:v>-2</c:v>
                      </c:pt>
                      <c:pt idx="1">
                        <c:v>-1</c:v>
                      </c:pt>
                      <c:pt idx="2">
                        <c:v>0</c:v>
                      </c:pt>
                      <c:pt idx="3">
                        <c:v>1</c:v>
                      </c:pt>
                      <c:pt idx="4">
                        <c:v>2</c:v>
                      </c:pt>
                    </c:numCache>
                  </c:numRef>
                </c:cat>
                <c:val>
                  <c:numRef>
                    <c:extLst>
                      <c:ext uri="{02D57815-91ED-43cb-92C2-25804820EDAC}">
                        <c15:formulaRef>
                          <c15:sqref>{-2,-1,0,1,2}</c15:sqref>
                        </c15:formulaRef>
                      </c:ext>
                    </c:extLst>
                    <c:numCache>
                      <c:formatCode>General</c:formatCode>
                      <c:ptCount val="5"/>
                      <c:pt idx="0">
                        <c:v>-2</c:v>
                      </c:pt>
                      <c:pt idx="1">
                        <c:v>-1</c:v>
                      </c:pt>
                      <c:pt idx="2">
                        <c:v>0</c:v>
                      </c:pt>
                      <c:pt idx="3">
                        <c:v>1</c:v>
                      </c:pt>
                      <c:pt idx="4">
                        <c:v>2</c:v>
                      </c:pt>
                    </c:numCache>
                  </c:numRef>
                </c:val>
                <c:smooth val="0"/>
              </c15:ser>
            </c15:filteredLineSeries>
          </c:ext>
        </c:extLst>
      </c:lineChart>
      <c:catAx>
        <c:axId val="25073011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57159540"/>
        <c:crosses val="autoZero"/>
        <c:auto val="1"/>
        <c:lblAlgn val="ctr"/>
        <c:lblOffset val="100"/>
        <c:noMultiLvlLbl val="0"/>
      </c:catAx>
      <c:valAx>
        <c:axId val="85715954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0730117"/>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37dc4a8-8375-4e7a-bf42-824f7c0f714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633</Words>
  <Characters>3731</Characters>
  <Lines>0</Lines>
  <Paragraphs>0</Paragraphs>
  <TotalTime>68</TotalTime>
  <ScaleCrop>false</ScaleCrop>
  <LinksUpToDate>false</LinksUpToDate>
  <CharactersWithSpaces>4655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2026-04-29T07:56:00Z</dcterms:created>
  <dc:creator>loomboo</dc:creator>
  <cp:lastModifiedBy>loomboo</cp:lastModifiedBy>
  <dcterms:modified xsi:type="dcterms:W3CDTF">2026-04-29T17:40:48Z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182E8B4D03FF406D96DD6EB3BA9A5815_11</vt:lpwstr>
  </property>
  <property fmtid="{D5CDD505-2E9C-101B-9397-08002B2CF9AE}" pid="4" name="KSOTemplateDocerSaveRecord">
    <vt:lpwstr>eyJoZGlkIjoiMmVhODY3YWJhZmRmOTM1OTc4OWI5MDc0OTk1N2NhODMiLCJ1c2VySWQiOiIyNDYyMzc4NjcifQ==</vt:lpwstr>
  </property>
</Properties>
</file>