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1A025">
      <w:pPr>
        <w:pStyle w:val="3"/>
      </w:pPr>
      <w:r>
        <w:rPr>
          <w:rFonts w:ascii="Times New Roman" w:hAnsi="Times New Roman" w:eastAsia="Times New Roman"/>
          <w:b w:val="0"/>
          <w:i w:val="0"/>
          <w:sz w:val="22"/>
        </w:rPr>
        <w:t>Part A. Ordered Logit Models</w:t>
      </w:r>
    </w:p>
    <w:p w14:paraId="6125BFBF">
      <w:r>
        <w:rPr>
          <w:rFonts w:ascii="Times New Roman" w:hAnsi="Times New Roman" w:eastAsia="Times New Roman"/>
          <w:b w:val="0"/>
          <w:i w:val="0"/>
          <w:sz w:val="22"/>
        </w:rPr>
        <w:t>The ordered logistic HGLM was run with degree attainment predicted by gender, race, and base-year SES. All of these predictors were left uncentered and the slopes were treated as fixed. The outcome is coded so that 0 = BA graduate, 1 = high school graduate, and 2 = less than high school. Therefore, larger outcome values represent lower educational attainment.</w:t>
      </w:r>
    </w:p>
    <w:p w14:paraId="01B31DE3">
      <w:pPr>
        <w:pStyle w:val="5"/>
      </w:pPr>
      <w:r>
        <w:rPr>
          <w:rFonts w:ascii="Times New Roman" w:hAnsi="Times New Roman" w:eastAsia="Times New Roman"/>
          <w:b w:val="0"/>
          <w:i w:val="0"/>
          <w:sz w:val="22"/>
        </w:rPr>
        <w:t>Output from the first ordered logit model</w:t>
      </w:r>
    </w:p>
    <w:p w14:paraId="57CD069E">
      <w:pPr>
        <w:jc w:val="center"/>
      </w:pPr>
      <w:r>
        <w:drawing>
          <wp:inline distT="0" distB="0" distL="114300" distR="114300">
            <wp:extent cx="4476750" cy="4010025"/>
            <wp:effectExtent l="0" t="0" r="635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476750" cy="4010025"/>
                    </a:xfrm>
                    <a:prstGeom prst="rect">
                      <a:avLst/>
                    </a:prstGeom>
                    <a:noFill/>
                    <a:ln>
                      <a:noFill/>
                    </a:ln>
                  </pic:spPr>
                </pic:pic>
              </a:graphicData>
            </a:graphic>
          </wp:inline>
        </w:drawing>
      </w:r>
    </w:p>
    <w:p w14:paraId="5CF6A579">
      <w:pPr>
        <w:pStyle w:val="4"/>
      </w:pPr>
      <w:r>
        <w:rPr>
          <w:rFonts w:ascii="Times New Roman" w:hAnsi="Times New Roman" w:eastAsia="Times New Roman"/>
          <w:b w:val="0"/>
          <w:i w:val="0"/>
          <w:sz w:val="22"/>
        </w:rPr>
        <w:t>Q1. Interpretation of the intercept, Black coefficient, SES coefficient, and threshold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4E0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2E90E5E">
            <w:r>
              <w:rPr>
                <w:rFonts w:ascii="Times New Roman" w:hAnsi="Times New Roman"/>
                <w:b/>
                <w:sz w:val="20"/>
              </w:rPr>
              <w:t>Effect</w:t>
            </w:r>
          </w:p>
        </w:tc>
        <w:tc>
          <w:tcPr>
            <w:tcW w:w="3312" w:type="dxa"/>
          </w:tcPr>
          <w:p w14:paraId="68C5F4B0">
            <w:r>
              <w:rPr>
                <w:rFonts w:ascii="Times New Roman" w:hAnsi="Times New Roman"/>
                <w:b/>
                <w:sz w:val="20"/>
              </w:rPr>
              <w:t>Coefficient</w:t>
            </w:r>
          </w:p>
        </w:tc>
        <w:tc>
          <w:tcPr>
            <w:tcW w:w="3312" w:type="dxa"/>
          </w:tcPr>
          <w:p w14:paraId="35151D45">
            <w:r>
              <w:rPr>
                <w:rFonts w:ascii="Times New Roman" w:hAnsi="Times New Roman"/>
                <w:b/>
                <w:sz w:val="20"/>
              </w:rPr>
              <w:t>p-value</w:t>
            </w:r>
          </w:p>
        </w:tc>
      </w:tr>
      <w:tr w14:paraId="3EC8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A47DCAA">
            <w:r>
              <w:rPr>
                <w:rFonts w:ascii="Times New Roman" w:hAnsi="Times New Roman"/>
                <w:sz w:val="20"/>
              </w:rPr>
              <w:t>Intercept</w:t>
            </w:r>
          </w:p>
        </w:tc>
        <w:tc>
          <w:tcPr>
            <w:tcW w:w="3312" w:type="dxa"/>
          </w:tcPr>
          <w:p w14:paraId="1445AB8F">
            <w:r>
              <w:rPr>
                <w:rFonts w:ascii="Times New Roman" w:hAnsi="Times New Roman"/>
                <w:sz w:val="20"/>
              </w:rPr>
              <w:t>-0.5566</w:t>
            </w:r>
          </w:p>
        </w:tc>
        <w:tc>
          <w:tcPr>
            <w:tcW w:w="3312" w:type="dxa"/>
          </w:tcPr>
          <w:p w14:paraId="3E3AF528">
            <w:r>
              <w:rPr>
                <w:rFonts w:ascii="Times New Roman" w:hAnsi="Times New Roman"/>
                <w:sz w:val="20"/>
              </w:rPr>
              <w:t>&lt; .001</w:t>
            </w:r>
          </w:p>
        </w:tc>
      </w:tr>
      <w:tr w14:paraId="19F7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76D1114">
            <w:r>
              <w:rPr>
                <w:rFonts w:ascii="Times New Roman" w:hAnsi="Times New Roman"/>
                <w:sz w:val="20"/>
              </w:rPr>
              <w:t>Female</w:t>
            </w:r>
          </w:p>
        </w:tc>
        <w:tc>
          <w:tcPr>
            <w:tcW w:w="3312" w:type="dxa"/>
          </w:tcPr>
          <w:p w14:paraId="520BB829">
            <w:r>
              <w:rPr>
                <w:rFonts w:ascii="Times New Roman" w:hAnsi="Times New Roman"/>
                <w:sz w:val="20"/>
              </w:rPr>
              <w:t>0.3508</w:t>
            </w:r>
          </w:p>
        </w:tc>
        <w:tc>
          <w:tcPr>
            <w:tcW w:w="3312" w:type="dxa"/>
          </w:tcPr>
          <w:p w14:paraId="7F5D5FDD">
            <w:r>
              <w:rPr>
                <w:rFonts w:ascii="Times New Roman" w:hAnsi="Times New Roman"/>
                <w:sz w:val="20"/>
              </w:rPr>
              <w:t>.007</w:t>
            </w:r>
          </w:p>
        </w:tc>
      </w:tr>
      <w:tr w14:paraId="2B92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3B83345">
            <w:r>
              <w:rPr>
                <w:rFonts w:ascii="Times New Roman" w:hAnsi="Times New Roman"/>
                <w:sz w:val="20"/>
              </w:rPr>
              <w:t>Black</w:t>
            </w:r>
          </w:p>
        </w:tc>
        <w:tc>
          <w:tcPr>
            <w:tcW w:w="3312" w:type="dxa"/>
          </w:tcPr>
          <w:p w14:paraId="3A8A7ED0">
            <w:r>
              <w:rPr>
                <w:rFonts w:ascii="Times New Roman" w:hAnsi="Times New Roman"/>
                <w:sz w:val="20"/>
              </w:rPr>
              <w:t>-0.5404</w:t>
            </w:r>
          </w:p>
        </w:tc>
        <w:tc>
          <w:tcPr>
            <w:tcW w:w="3312" w:type="dxa"/>
          </w:tcPr>
          <w:p w14:paraId="74AF2332">
            <w:r>
              <w:rPr>
                <w:rFonts w:ascii="Times New Roman" w:hAnsi="Times New Roman"/>
                <w:sz w:val="20"/>
              </w:rPr>
              <w:t>.007</w:t>
            </w:r>
          </w:p>
        </w:tc>
      </w:tr>
      <w:tr w14:paraId="5AA4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B63359">
            <w:r>
              <w:rPr>
                <w:rFonts w:ascii="Times New Roman" w:hAnsi="Times New Roman"/>
                <w:sz w:val="20"/>
              </w:rPr>
              <w:t>Hispanic</w:t>
            </w:r>
          </w:p>
        </w:tc>
        <w:tc>
          <w:tcPr>
            <w:tcW w:w="3312" w:type="dxa"/>
          </w:tcPr>
          <w:p w14:paraId="11231BB8">
            <w:r>
              <w:rPr>
                <w:rFonts w:ascii="Times New Roman" w:hAnsi="Times New Roman"/>
                <w:sz w:val="20"/>
              </w:rPr>
              <w:t>-0.2034</w:t>
            </w:r>
          </w:p>
        </w:tc>
        <w:tc>
          <w:tcPr>
            <w:tcW w:w="3312" w:type="dxa"/>
          </w:tcPr>
          <w:p w14:paraId="675F6468">
            <w:r>
              <w:rPr>
                <w:rFonts w:ascii="Times New Roman" w:hAnsi="Times New Roman"/>
                <w:sz w:val="20"/>
              </w:rPr>
              <w:t>.278</w:t>
            </w:r>
          </w:p>
        </w:tc>
      </w:tr>
      <w:tr w14:paraId="27FD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E1EA726">
            <w:r>
              <w:rPr>
                <w:rFonts w:ascii="Times New Roman" w:hAnsi="Times New Roman"/>
                <w:sz w:val="20"/>
              </w:rPr>
              <w:t>Asian</w:t>
            </w:r>
          </w:p>
        </w:tc>
        <w:tc>
          <w:tcPr>
            <w:tcW w:w="3312" w:type="dxa"/>
          </w:tcPr>
          <w:p w14:paraId="61B5E8C2">
            <w:r>
              <w:rPr>
                <w:rFonts w:ascii="Times New Roman" w:hAnsi="Times New Roman"/>
                <w:sz w:val="20"/>
              </w:rPr>
              <w:t>0.8303</w:t>
            </w:r>
          </w:p>
        </w:tc>
        <w:tc>
          <w:tcPr>
            <w:tcW w:w="3312" w:type="dxa"/>
          </w:tcPr>
          <w:p w14:paraId="0601745D">
            <w:r>
              <w:rPr>
                <w:rFonts w:ascii="Times New Roman" w:hAnsi="Times New Roman"/>
                <w:sz w:val="20"/>
              </w:rPr>
              <w:t>&lt; .001</w:t>
            </w:r>
          </w:p>
        </w:tc>
      </w:tr>
      <w:tr w14:paraId="75D6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7A8DCC">
            <w:r>
              <w:rPr>
                <w:rFonts w:ascii="Times New Roman" w:hAnsi="Times New Roman"/>
                <w:sz w:val="20"/>
              </w:rPr>
              <w:t>BYSES</w:t>
            </w:r>
          </w:p>
        </w:tc>
        <w:tc>
          <w:tcPr>
            <w:tcW w:w="3312" w:type="dxa"/>
          </w:tcPr>
          <w:p w14:paraId="4F76E2F9">
            <w:r>
              <w:rPr>
                <w:rFonts w:ascii="Times New Roman" w:hAnsi="Times New Roman"/>
                <w:sz w:val="20"/>
              </w:rPr>
              <w:t>1.0509</w:t>
            </w:r>
          </w:p>
        </w:tc>
        <w:tc>
          <w:tcPr>
            <w:tcW w:w="3312" w:type="dxa"/>
          </w:tcPr>
          <w:p w14:paraId="32AE6F78">
            <w:r>
              <w:rPr>
                <w:rFonts w:ascii="Times New Roman" w:hAnsi="Times New Roman"/>
                <w:sz w:val="20"/>
              </w:rPr>
              <w:t>&lt; .001</w:t>
            </w:r>
          </w:p>
        </w:tc>
      </w:tr>
      <w:tr w14:paraId="237D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DA603F1">
            <w:r>
              <w:rPr>
                <w:rFonts w:ascii="Times New Roman" w:hAnsi="Times New Roman"/>
                <w:sz w:val="20"/>
              </w:rPr>
              <w:t>Threshold δ₂</w:t>
            </w:r>
          </w:p>
        </w:tc>
        <w:tc>
          <w:tcPr>
            <w:tcW w:w="3312" w:type="dxa"/>
          </w:tcPr>
          <w:p w14:paraId="79EC29A8">
            <w:r>
              <w:rPr>
                <w:rFonts w:ascii="Times New Roman" w:hAnsi="Times New Roman"/>
                <w:sz w:val="20"/>
              </w:rPr>
              <w:t>3.7165</w:t>
            </w:r>
          </w:p>
        </w:tc>
        <w:tc>
          <w:tcPr>
            <w:tcW w:w="3312" w:type="dxa"/>
          </w:tcPr>
          <w:p w14:paraId="285DB717">
            <w:r>
              <w:rPr>
                <w:rFonts w:ascii="Times New Roman" w:hAnsi="Times New Roman"/>
                <w:sz w:val="20"/>
              </w:rPr>
              <w:t>&lt; .001</w:t>
            </w:r>
          </w:p>
        </w:tc>
      </w:tr>
    </w:tbl>
    <w:p w14:paraId="1B121DB6">
      <w:r>
        <w:rPr>
          <w:rFonts w:ascii="Times New Roman" w:hAnsi="Times New Roman" w:eastAsia="Times New Roman"/>
          <w:b w:val="0"/>
          <w:i w:val="0"/>
          <w:sz w:val="22"/>
        </w:rPr>
        <w:t xml:space="preserve">The intercept is -0.5566.  </w:t>
      </w:r>
      <w:r>
        <w:rPr>
          <w:rFonts w:hint="eastAsia" w:eastAsia="宋体"/>
          <w:b w:val="0"/>
          <w:i w:val="0"/>
          <w:sz w:val="22"/>
          <w:lang w:val="en-US" w:eastAsia="zh-CN"/>
        </w:rPr>
        <w:t>I</w:t>
      </w:r>
      <w:r>
        <w:rPr>
          <w:rFonts w:ascii="Times New Roman" w:hAnsi="Times New Roman" w:eastAsia="Times New Roman"/>
          <w:b w:val="0"/>
          <w:i w:val="0"/>
          <w:sz w:val="22"/>
        </w:rPr>
        <w:t>t refers to the log-odds for the reference student, meaning a white male student with BYSES equal to 0. Since the outcome categories are ordered from BA graduate to less than high school, the sign of the coefficient must be read together with the coding of the dependent variable.</w:t>
      </w:r>
    </w:p>
    <w:p w14:paraId="269E7A32">
      <w:r>
        <w:rPr>
          <w:rFonts w:ascii="Times New Roman" w:hAnsi="Times New Roman" w:eastAsia="Times New Roman"/>
          <w:b w:val="0"/>
          <w:i w:val="0"/>
          <w:sz w:val="22"/>
        </w:rPr>
        <w:t>The Black coefficient is -0.5404 and is statistically significant at p = .007. Holding gender and SES constant, Black students differ from white students by about -0.54 in the log-odds scale. With this coding of DEGREE, the negative sign suggests lower odds of being in the lower-attainment categories relative to white students, although the interpretation should be stated carefully because the categories are reverse-coded.</w:t>
      </w:r>
    </w:p>
    <w:p w14:paraId="499CD2C6">
      <w:r>
        <w:rPr>
          <w:rFonts w:ascii="Times New Roman" w:hAnsi="Times New Roman" w:eastAsia="Times New Roman"/>
          <w:b w:val="0"/>
          <w:i w:val="0"/>
          <w:sz w:val="22"/>
        </w:rPr>
        <w:t>The coefficient for BYSES is 1.0509 and is highly significant. A one-unit increase in base-year SES changes the log-odds by about 1.05, net of race and gender. Because the coding of the outcome runs from higher attainment to lower attainment, this coefficient has to be interpreted in relation to the ordered-logit cutpoints rather than as a simple linear change in years of schooling.</w:t>
      </w:r>
    </w:p>
    <w:p w14:paraId="73583B41">
      <w:r>
        <w:rPr>
          <w:rFonts w:ascii="Times New Roman" w:hAnsi="Times New Roman" w:eastAsia="Times New Roman"/>
          <w:b w:val="0"/>
          <w:i w:val="0"/>
          <w:sz w:val="22"/>
        </w:rPr>
        <w:t xml:space="preserve">The threshold δ₂ is 3.7165. This parameter gives the distance between the first and second cumulative logits. </w:t>
      </w:r>
      <w:r>
        <w:rPr>
          <w:rFonts w:hint="eastAsia" w:eastAsia="宋体"/>
          <w:b w:val="0"/>
          <w:i w:val="0"/>
          <w:sz w:val="22"/>
          <w:lang w:val="en-US" w:eastAsia="zh-CN"/>
        </w:rPr>
        <w:t>I</w:t>
      </w:r>
      <w:r>
        <w:rPr>
          <w:rFonts w:ascii="Times New Roman" w:hAnsi="Times New Roman" w:eastAsia="Times New Roman"/>
          <w:b w:val="0"/>
          <w:i w:val="0"/>
          <w:sz w:val="22"/>
        </w:rPr>
        <w:t>t helps separate the BA-graduate category from the combined lower-attainment categories in the ordered response scale.</w:t>
      </w:r>
    </w:p>
    <w:p w14:paraId="1A806E6A">
      <w:pPr>
        <w:pStyle w:val="4"/>
      </w:pPr>
      <w:r>
        <w:rPr>
          <w:rFonts w:ascii="Times New Roman" w:hAnsi="Times New Roman" w:eastAsia="Times New Roman"/>
          <w:b w:val="0"/>
          <w:i w:val="0"/>
          <w:sz w:val="22"/>
        </w:rPr>
        <w:t>Q2. Log-odds for a Black student with SES = 1</w:t>
      </w:r>
    </w:p>
    <w:p w14:paraId="2E71B042">
      <w:r>
        <w:rPr>
          <w:rFonts w:ascii="Times New Roman" w:hAnsi="Times New Roman" w:eastAsia="Times New Roman"/>
          <w:b w:val="0"/>
          <w:i w:val="0"/>
          <w:sz w:val="22"/>
        </w:rPr>
        <w:t>For a Black student with BYSES = 1, the log-odds for the first cumulative comparison are calculated by adding the intercept, the Black coefficient, and the BYSES coefficient:</w:t>
      </w:r>
    </w:p>
    <w:p w14:paraId="5F62590F">
      <w:pPr>
        <w:jc w:val="center"/>
      </w:pPr>
      <w:r>
        <w:rPr>
          <w:rFonts w:ascii="Cambria Math" w:hAnsi="Cambria Math" w:eastAsia="Cambria Math"/>
          <w:i/>
          <w:sz w:val="22"/>
        </w:rPr>
        <w:t>-0.556564 + (-0.540414) + 1.050860 = -0.046118</w:t>
      </w:r>
    </w:p>
    <w:p w14:paraId="7F99B600">
      <w:r>
        <w:rPr>
          <w:rFonts w:ascii="Times New Roman" w:hAnsi="Times New Roman" w:eastAsia="Times New Roman"/>
          <w:b w:val="0"/>
          <w:i w:val="0"/>
          <w:sz w:val="22"/>
        </w:rPr>
        <w:t>Thus, the estimated log-odds are approximately -0.046. Converting this logit to a probability gives about 48.85 percent for the first comparison.</w:t>
      </w:r>
    </w:p>
    <w:p w14:paraId="1A4A5B5B">
      <w:r>
        <w:rPr>
          <w:rFonts w:ascii="Times New Roman" w:hAnsi="Times New Roman" w:eastAsia="Times New Roman"/>
          <w:b w:val="0"/>
          <w:i w:val="0"/>
          <w:sz w:val="22"/>
        </w:rPr>
        <w:t>To include high school graduates along with BA graduates, the threshold is added to the calculation:</w:t>
      </w:r>
    </w:p>
    <w:p w14:paraId="21C2A233">
      <w:pPr>
        <w:jc w:val="center"/>
      </w:pPr>
      <w:r>
        <w:rPr>
          <w:rFonts w:ascii="Cambria Math" w:hAnsi="Cambria Math" w:eastAsia="Cambria Math"/>
          <w:i/>
          <w:sz w:val="22"/>
        </w:rPr>
        <w:t>3.716450 - (-0.046118) = 3.762568</w:t>
      </w:r>
    </w:p>
    <w:p w14:paraId="24710B4A">
      <w:r>
        <w:rPr>
          <w:rFonts w:ascii="Times New Roman" w:hAnsi="Times New Roman" w:eastAsia="Times New Roman"/>
          <w:b w:val="0"/>
          <w:i w:val="0"/>
          <w:sz w:val="22"/>
        </w:rPr>
        <w:t>This gives a cumulative log-odds of about 3.763, which corresponds to about 97.73 percent. Substantively, the second calculation is much larger because it includes a broader category: students with at least a high school degree rather than only BA graduates.</w:t>
      </w:r>
    </w:p>
    <w:p w14:paraId="1675D788">
      <w:pPr>
        <w:pStyle w:val="4"/>
      </w:pPr>
      <w:r>
        <w:rPr>
          <w:rFonts w:ascii="Times New Roman" w:hAnsi="Times New Roman" w:eastAsia="Times New Roman"/>
          <w:b w:val="0"/>
          <w:i w:val="0"/>
          <w:sz w:val="22"/>
        </w:rPr>
        <w:t>Q3. Wald test comparing the Black-white and Hispanic-white gaps</w:t>
      </w:r>
    </w:p>
    <w:p w14:paraId="50952378">
      <w:pPr>
        <w:jc w:val="center"/>
      </w:pPr>
      <w:r>
        <w:drawing>
          <wp:inline distT="0" distB="0" distL="114300" distR="114300">
            <wp:extent cx="3562350" cy="3190875"/>
            <wp:effectExtent l="0" t="0" r="635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3562350" cy="3190875"/>
                    </a:xfrm>
                    <a:prstGeom prst="rect">
                      <a:avLst/>
                    </a:prstGeom>
                    <a:noFill/>
                    <a:ln>
                      <a:noFill/>
                    </a:ln>
                  </pic:spPr>
                </pic:pic>
              </a:graphicData>
            </a:graphic>
          </wp:inline>
        </w:drawing>
      </w:r>
    </w:p>
    <w:p w14:paraId="6C3F50B6">
      <w:pPr>
        <w:jc w:val="center"/>
      </w:pPr>
    </w:p>
    <w:p w14:paraId="23AE1CC0">
      <w:r>
        <w:rPr>
          <w:rFonts w:ascii="Times New Roman" w:hAnsi="Times New Roman" w:eastAsia="Times New Roman"/>
          <w:b w:val="0"/>
          <w:i w:val="0"/>
          <w:sz w:val="22"/>
        </w:rPr>
        <w:t>The null hypothesis for the Wald test is that the Black-white gap is equal to the Hispanic-white gap:</w:t>
      </w:r>
    </w:p>
    <w:p w14:paraId="22EFB745">
      <w:pPr>
        <w:jc w:val="center"/>
      </w:pPr>
      <w:r>
        <w:rPr>
          <w:rFonts w:ascii="Cambria Math" w:hAnsi="Cambria Math" w:eastAsia="Cambria Math"/>
          <w:i/>
          <w:sz w:val="22"/>
        </w:rPr>
        <w:t>H₀: β_Black = β_Hispanic</w:t>
      </w:r>
    </w:p>
    <w:p w14:paraId="7A6CDA58">
      <w:r>
        <w:rPr>
          <w:rFonts w:ascii="Times New Roman" w:hAnsi="Times New Roman" w:eastAsia="Times New Roman"/>
          <w:b w:val="0"/>
          <w:i w:val="0"/>
          <w:sz w:val="22"/>
        </w:rPr>
        <w:t>The Wald test gives χ² = 2.0846 with 1 degree of freedom and p = 0.1448. Since this p-value is larger than .05, I fail to reject the null hypothesis. Therefore, the model does not provide enough statistical evidence that the Black-white gap differs from the Hispanic-white gap.</w:t>
      </w:r>
    </w:p>
    <w:p w14:paraId="018F67F9">
      <w:pPr>
        <w:pStyle w:val="4"/>
        <w:rPr>
          <w:rFonts w:ascii="Times New Roman" w:hAnsi="Times New Roman" w:eastAsia="Times New Roman"/>
          <w:b w:val="0"/>
          <w:i w:val="0"/>
          <w:sz w:val="22"/>
        </w:rPr>
      </w:pPr>
      <w:r>
        <w:rPr>
          <w:rFonts w:ascii="Times New Roman" w:hAnsi="Times New Roman" w:eastAsia="Times New Roman"/>
          <w:b w:val="0"/>
          <w:i w:val="0"/>
          <w:sz w:val="22"/>
        </w:rPr>
        <w:t>Q4. Adding Catholic school at level 2</w:t>
      </w:r>
    </w:p>
    <w:p w14:paraId="0AF9B4EC">
      <w:r>
        <w:drawing>
          <wp:inline distT="0" distB="0" distL="114300" distR="114300">
            <wp:extent cx="4448175" cy="2686050"/>
            <wp:effectExtent l="0" t="0" r="952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4448175" cy="2686050"/>
                    </a:xfrm>
                    <a:prstGeom prst="rect">
                      <a:avLst/>
                    </a:prstGeom>
                    <a:noFill/>
                    <a:ln>
                      <a:noFill/>
                    </a:ln>
                  </pic:spPr>
                </pic:pic>
              </a:graphicData>
            </a:graphic>
          </wp:inline>
        </w:drawing>
      </w:r>
    </w:p>
    <w:p w14:paraId="462DA52B">
      <w:r>
        <w:rPr>
          <w:rFonts w:ascii="Times New Roman" w:hAnsi="Times New Roman" w:eastAsia="Times New Roman"/>
          <w:b w:val="0"/>
          <w:i w:val="0"/>
          <w:sz w:val="22"/>
        </w:rPr>
        <w:t>In the second model, Catholic school was added at level 2 for each level-1 term. The public-school intercept is now -0.7210, while the Catholic effect on the intercept is 1.3440 and statistically significant. This means the estimated intercept differs between public and Catholic schools.</w:t>
      </w:r>
    </w:p>
    <w:p w14:paraId="38F59AC5">
      <w:r>
        <w:rPr>
          <w:rFonts w:ascii="Times New Roman" w:hAnsi="Times New Roman" w:eastAsia="Times New Roman"/>
          <w:b w:val="0"/>
          <w:i w:val="0"/>
          <w:sz w:val="22"/>
        </w:rPr>
        <w:t>For the demographic slopes, most of the Catholic interactions are not statistically significant. The Female × Catholic interaction is -0.5752 with p = .206, the Black × Catholic interaction is -0.5433 with p = .351, the Hispanic × Catholic interaction is -0.4314 with p = .520, and the BYSES × Catholic interaction is 0.5758 with p = .101. These results do not give strong evidence that Catholic schooling changes these particular relationships.</w:t>
      </w:r>
    </w:p>
    <w:p w14:paraId="5FAA27FA">
      <w:r>
        <w:rPr>
          <w:rFonts w:ascii="Times New Roman" w:hAnsi="Times New Roman" w:eastAsia="Times New Roman"/>
          <w:b w:val="0"/>
          <w:i w:val="0"/>
          <w:sz w:val="22"/>
        </w:rPr>
        <w:t xml:space="preserve">The main exception is the Asian × Catholic interaction, which is -1.5892 with p = .049. This is statistically significant at about the .05 level, although it should be interpreted cautiously because it is only one interaction among several tested. </w:t>
      </w:r>
      <w:r>
        <w:rPr>
          <w:rFonts w:hint="eastAsia" w:eastAsia="宋体"/>
          <w:b w:val="0"/>
          <w:i w:val="0"/>
          <w:sz w:val="22"/>
          <w:lang w:val="en-US" w:eastAsia="zh-CN"/>
        </w:rPr>
        <w:t>T</w:t>
      </w:r>
      <w:r>
        <w:rPr>
          <w:rFonts w:ascii="Times New Roman" w:hAnsi="Times New Roman" w:eastAsia="Times New Roman"/>
          <w:b w:val="0"/>
          <w:i w:val="0"/>
          <w:sz w:val="22"/>
        </w:rPr>
        <w:t>he results suggest that Catholic school status matters for the intercept and matter for Asian students, but the model gives limited evidence that Catholic schooling broadly changes the effects of gender, Black race, Hispanic ethnicity, or SES on educational attainment.</w:t>
      </w:r>
    </w:p>
    <w:p w14:paraId="28BE98D6">
      <w:pPr>
        <w:pStyle w:val="3"/>
      </w:pPr>
      <w:r>
        <w:rPr>
          <w:rFonts w:ascii="Times New Roman" w:hAnsi="Times New Roman" w:eastAsia="Times New Roman"/>
          <w:b w:val="0"/>
          <w:i w:val="0"/>
          <w:sz w:val="22"/>
        </w:rPr>
        <w:t>Part B. Cross-classified Models</w:t>
      </w:r>
    </w:p>
    <w:p w14:paraId="3E806033">
      <w:r>
        <w:rPr>
          <w:rFonts w:ascii="Times New Roman" w:hAnsi="Times New Roman" w:eastAsia="Times New Roman"/>
          <w:b w:val="0"/>
          <w:i w:val="0"/>
          <w:sz w:val="22"/>
        </w:rPr>
        <w:t>For Part B, the outcome is ATTAIN. Students are cross-classified by neighborhoods and schools rather than being strictly nested in only one grouping structure. P7READ and DADOCC are grand-mean centered, while the binary variables are left uncentered.</w:t>
      </w:r>
    </w:p>
    <w:p w14:paraId="0E514CA8">
      <w:pPr>
        <w:pStyle w:val="4"/>
      </w:pPr>
      <w:r>
        <w:rPr>
          <w:rFonts w:ascii="Times New Roman" w:hAnsi="Times New Roman" w:eastAsia="Times New Roman"/>
          <w:b w:val="0"/>
          <w:i w:val="0"/>
          <w:sz w:val="22"/>
        </w:rPr>
        <w:t>Q1. Model and interpretation</w:t>
      </w:r>
    </w:p>
    <w:p w14:paraId="2E59A3C7">
      <w:pPr>
        <w:bidi w:val="0"/>
        <w:rPr>
          <w:rFonts w:hAnsi="Cambria Math" w:eastAsiaTheme="minorEastAsia" w:cstheme="minorBidi"/>
          <w:i w:val="0"/>
          <w:kern w:val="2"/>
          <w:sz w:val="21"/>
          <w:szCs w:val="24"/>
          <w:lang w:val="en-US" w:eastAsia="zh-CN" w:bidi="ar-SA"/>
        </w:rPr>
      </w:pPr>
      <m:oMathPara>
        <m:oMath>
          <m:m>
            <m:mPr>
              <m:mcs>
                <m:mc>
                  <m:mcPr>
                    <m:count m:val="1"/>
                    <m:mcJc m:val="right"/>
                  </m:mcPr>
                </m:mc>
                <m:mc>
                  <m:mcPr>
                    <m:count m:val="1"/>
                    <m:mcJc m:val="left"/>
                  </m:mcPr>
                </m:mc>
              </m:mcs>
              <m:ctrlPr>
                <w:rPr>
                  <w:rFonts w:hint="default" w:ascii="Cambria Math" w:hAnsi="Cambria Math" w:eastAsiaTheme="minorEastAsia"/>
                  <w:sz w:val="21"/>
                </w:rPr>
              </m:ctrlPr>
            </m:mPr>
            <m:mr>
              <m:e>
                <m:r>
                  <m:rPr/>
                  <w:rPr>
                    <w:rFonts w:hint="default" w:ascii="Cambria Math" w:hAnsi="Cambria Math" w:eastAsiaTheme="minorEastAsia"/>
                    <w:sz w:val="21"/>
                  </w:rPr>
                  <m:t>ATTAI</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= </m:t>
                </m:r>
                <m:ctrlPr>
                  <w:rPr>
                    <w:rFonts w:hint="default" w:ascii="Cambria Math" w:hAnsi="Cambria Math" w:eastAsiaTheme="minorEastAsia"/>
                    <w:sz w:val="21"/>
                  </w:rPr>
                </m:ctrlPr>
              </m:e>
              <m:e>
                <m:sSub>
                  <m:sSubPr>
                    <m:ctrlPr>
                      <w:rPr>
                        <w:rFonts w:hint="default" w:ascii="Cambria Math" w:hAnsi="Cambria Math" w:eastAsiaTheme="minorEastAsia"/>
                        <w:sz w:val="21"/>
                      </w:rPr>
                    </m:ctrlPr>
                  </m:sSubPr>
                  <m:e>
                    <m:r>
                      <m:rPr/>
                      <w:rPr>
                        <w:rFonts w:hint="default" w:ascii="Cambria Math" w:hAnsi="Cambria Math" w:eastAsiaTheme="minorEastAsia"/>
                        <w:sz w:val="21"/>
                      </w:rPr>
                      <m:t>π</m:t>
                    </m:r>
                    <m:ctrlPr>
                      <w:rPr>
                        <w:rFonts w:ascii="Cambria Math" w:hAnsi="Cambria Math" w:eastAsiaTheme="minorEastAsia"/>
                        <w:sz w:val="21"/>
                      </w:rPr>
                    </m:ctrlPr>
                  </m:e>
                  <m:sub>
                    <m:r>
                      <m:rPr/>
                      <w:rPr>
                        <w:rFonts w:hint="default" w:ascii="Cambria Math" w:hAnsi="Cambria Math" w:eastAsiaTheme="minorEastAsia"/>
                        <w:sz w:val="21"/>
                      </w:rPr>
                      <m:t>0</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01</m:t>
                    </m:r>
                    <m:ctrlPr>
                      <w:rPr>
                        <w:rFonts w:ascii="Cambria Math" w:hAnsi="Cambria Math" w:eastAsiaTheme="minorEastAsia"/>
                        <w:sz w:val="21"/>
                      </w:rPr>
                    </m:ctrlPr>
                  </m:sub>
                </m:sSub>
                <m:r>
                  <m:rPr/>
                  <w:rPr>
                    <w:rFonts w:hint="default" w:ascii="Cambria Math" w:hAnsi="Cambria Math" w:eastAsiaTheme="minorEastAsia"/>
                    <w:sz w:val="21"/>
                  </w:rPr>
                  <m:t>DEPRIV</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j</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10</m:t>
                    </m:r>
                    <m:ctrlPr>
                      <w:rPr>
                        <w:rFonts w:ascii="Cambria Math" w:hAnsi="Cambria Math" w:eastAsiaTheme="minorEastAsia"/>
                        <w:sz w:val="21"/>
                      </w:rPr>
                    </m:ctrlPr>
                  </m:sub>
                </m:sSub>
                <m:r>
                  <m:rPr/>
                  <w:rPr>
                    <w:rFonts w:hint="default" w:ascii="Cambria Math" w:hAnsi="Cambria Math" w:eastAsiaTheme="minorEastAsia"/>
                    <w:sz w:val="21"/>
                  </w:rPr>
                  <m:t>P7REA</m:t>
                </m:r>
                <m:sSub>
                  <m:sSubPr>
                    <m:ctrlPr>
                      <w:rPr>
                        <w:rFonts w:hint="default" w:ascii="Cambria Math" w:hAnsi="Cambria Math" w:eastAsiaTheme="minorEastAsia"/>
                        <w:sz w:val="21"/>
                      </w:rPr>
                    </m:ctrlPr>
                  </m:sSubPr>
                  <m:e>
                    <m:r>
                      <m:rPr/>
                      <w:rPr>
                        <w:rFonts w:hint="default" w:ascii="Cambria Math" w:hAnsi="Cambria Math" w:eastAsiaTheme="minorEastAsia"/>
                        <w:sz w:val="21"/>
                      </w:rPr>
                      <m:t>D</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ctrlPr>
                  <w:rPr>
                    <w:rFonts w:hint="default" w:ascii="Cambria Math" w:hAnsi="Cambria Math" w:eastAsiaTheme="minorEastAsia"/>
                    <w:sz w:val="21"/>
                  </w:rPr>
                </m:ctrlPr>
              </m:e>
            </m:mr>
            <m:mr>
              <m:e>
                <m:ctrlPr>
                  <w:rPr>
                    <w:rFonts w:hint="default" w:ascii="Cambria Math" w:hAnsi="Cambria Math" w:eastAsiaTheme="minorEastAsia"/>
                    <w:sz w:val="21"/>
                  </w:rPr>
                </m:ctrlPr>
              </m:e>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11</m:t>
                    </m:r>
                    <m:ctrlPr>
                      <w:rPr>
                        <w:rFonts w:ascii="Cambria Math" w:hAnsi="Cambria Math" w:eastAsiaTheme="minorEastAsia"/>
                        <w:sz w:val="21"/>
                      </w:rPr>
                    </m:ctrlPr>
                  </m:sub>
                </m:sSub>
                <m:r>
                  <m:rPr/>
                  <w:rPr>
                    <w:rFonts w:hint="default" w:ascii="Cambria Math" w:hAnsi="Cambria Math" w:eastAsiaTheme="minorEastAsia"/>
                    <w:sz w:val="21"/>
                  </w:rPr>
                  <m:t>(P7REA</m:t>
                </m:r>
                <m:sSub>
                  <m:sSubPr>
                    <m:ctrlPr>
                      <w:rPr>
                        <w:rFonts w:hint="default" w:ascii="Cambria Math" w:hAnsi="Cambria Math" w:eastAsiaTheme="minorEastAsia"/>
                        <w:sz w:val="21"/>
                      </w:rPr>
                    </m:ctrlPr>
                  </m:sSubPr>
                  <m:e>
                    <m:r>
                      <m:rPr/>
                      <w:rPr>
                        <w:rFonts w:hint="default" w:ascii="Cambria Math" w:hAnsi="Cambria Math" w:eastAsiaTheme="minorEastAsia"/>
                        <w:sz w:val="21"/>
                      </w:rPr>
                      <m:t>D</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×DEPRIV</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j</m:t>
                    </m:r>
                    <m:ctrlPr>
                      <w:rPr>
                        <w:rFonts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mr>
            <m:mr>
              <m:e>
                <m:ctrlPr>
                  <w:rPr>
                    <w:rFonts w:hint="default" w:ascii="Cambria Math" w:hAnsi="Cambria Math" w:eastAsiaTheme="minorEastAsia"/>
                    <w:sz w:val="21"/>
                  </w:rPr>
                </m:ctrlPr>
              </m:e>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20</m:t>
                    </m:r>
                    <m:ctrlPr>
                      <w:rPr>
                        <w:rFonts w:ascii="Cambria Math" w:hAnsi="Cambria Math" w:eastAsiaTheme="minorEastAsia"/>
                        <w:sz w:val="21"/>
                      </w:rPr>
                    </m:ctrlPr>
                  </m:sub>
                </m:sSub>
                <m:r>
                  <m:rPr/>
                  <w:rPr>
                    <w:rFonts w:hint="default" w:ascii="Cambria Math" w:hAnsi="Cambria Math" w:eastAsiaTheme="minorEastAsia"/>
                    <w:sz w:val="21"/>
                  </w:rPr>
                  <m:t>DADOC</m:t>
                </m:r>
                <m:sSub>
                  <m:sSubPr>
                    <m:ctrlPr>
                      <w:rPr>
                        <w:rFonts w:hint="default" w:ascii="Cambria Math" w:hAnsi="Cambria Math" w:eastAsiaTheme="minorEastAsia"/>
                        <w:sz w:val="21"/>
                      </w:rPr>
                    </m:ctrlPr>
                  </m:sSubPr>
                  <m:e>
                    <m:r>
                      <m:rPr/>
                      <w:rPr>
                        <w:rFonts w:hint="default" w:ascii="Cambria Math" w:hAnsi="Cambria Math" w:eastAsiaTheme="minorEastAsia"/>
                        <w:sz w:val="21"/>
                      </w:rPr>
                      <m:t>C</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21</m:t>
                    </m:r>
                    <m:ctrlPr>
                      <w:rPr>
                        <w:rFonts w:ascii="Cambria Math" w:hAnsi="Cambria Math" w:eastAsiaTheme="minorEastAsia"/>
                        <w:sz w:val="21"/>
                      </w:rPr>
                    </m:ctrlPr>
                  </m:sub>
                </m:sSub>
                <m:r>
                  <m:rPr/>
                  <w:rPr>
                    <w:rFonts w:hint="default" w:ascii="Cambria Math" w:hAnsi="Cambria Math" w:eastAsiaTheme="minorEastAsia"/>
                    <w:sz w:val="21"/>
                  </w:rPr>
                  <m:t>(DADOC</m:t>
                </m:r>
                <m:sSub>
                  <m:sSubPr>
                    <m:ctrlPr>
                      <w:rPr>
                        <w:rFonts w:hint="default" w:ascii="Cambria Math" w:hAnsi="Cambria Math" w:eastAsiaTheme="minorEastAsia"/>
                        <w:sz w:val="21"/>
                      </w:rPr>
                    </m:ctrlPr>
                  </m:sSubPr>
                  <m:e>
                    <m:r>
                      <m:rPr/>
                      <w:rPr>
                        <w:rFonts w:hint="default" w:ascii="Cambria Math" w:hAnsi="Cambria Math" w:eastAsiaTheme="minorEastAsia"/>
                        <w:sz w:val="21"/>
                      </w:rPr>
                      <m:t>C</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×DEPRIV</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j</m:t>
                    </m:r>
                    <m:ctrlPr>
                      <w:rPr>
                        <w:rFonts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mr>
            <m:mr>
              <m:e>
                <m:ctrlPr>
                  <w:rPr>
                    <w:rFonts w:hint="default" w:ascii="Cambria Math" w:hAnsi="Cambria Math" w:eastAsiaTheme="minorEastAsia"/>
                    <w:sz w:val="21"/>
                  </w:rPr>
                </m:ctrlPr>
              </m:e>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30</m:t>
                    </m:r>
                    <m:ctrlPr>
                      <w:rPr>
                        <w:rFonts w:ascii="Cambria Math" w:hAnsi="Cambria Math" w:eastAsiaTheme="minorEastAsia"/>
                        <w:sz w:val="21"/>
                      </w:rPr>
                    </m:ctrlPr>
                  </m:sub>
                </m:sSub>
                <m:r>
                  <m:rPr/>
                  <w:rPr>
                    <w:rFonts w:hint="default" w:ascii="Cambria Math" w:hAnsi="Cambria Math" w:eastAsiaTheme="minorEastAsia"/>
                    <w:sz w:val="21"/>
                  </w:rPr>
                  <m:t>DADUNEM</m:t>
                </m:r>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31</m:t>
                    </m:r>
                    <m:ctrlPr>
                      <w:rPr>
                        <w:rFonts w:ascii="Cambria Math" w:hAnsi="Cambria Math" w:eastAsiaTheme="minorEastAsia"/>
                        <w:sz w:val="21"/>
                      </w:rPr>
                    </m:ctrlPr>
                  </m:sub>
                </m:sSub>
                <m:r>
                  <m:rPr/>
                  <w:rPr>
                    <w:rFonts w:hint="default" w:ascii="Cambria Math" w:hAnsi="Cambria Math" w:eastAsiaTheme="minorEastAsia"/>
                    <w:sz w:val="21"/>
                  </w:rPr>
                  <m:t>(DADUNEM</m:t>
                </m:r>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×DEPRIV</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j</m:t>
                    </m:r>
                    <m:ctrlPr>
                      <w:rPr>
                        <w:rFonts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mr>
            <m:mr>
              <m:e>
                <m:ctrlPr>
                  <w:rPr>
                    <w:rFonts w:hint="default" w:ascii="Cambria Math" w:hAnsi="Cambria Math" w:eastAsiaTheme="minorEastAsia"/>
                    <w:sz w:val="21"/>
                  </w:rPr>
                </m:ctrlPr>
              </m:e>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40</m:t>
                    </m:r>
                    <m:ctrlPr>
                      <w:rPr>
                        <w:rFonts w:ascii="Cambria Math" w:hAnsi="Cambria Math" w:eastAsiaTheme="minorEastAsia"/>
                        <w:sz w:val="21"/>
                      </w:rPr>
                    </m:ctrlPr>
                  </m:sub>
                </m:sSub>
                <m:r>
                  <m:rPr/>
                  <w:rPr>
                    <w:rFonts w:hint="default" w:ascii="Cambria Math" w:hAnsi="Cambria Math" w:eastAsiaTheme="minorEastAsia"/>
                    <w:sz w:val="21"/>
                  </w:rPr>
                  <m:t>MAL</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γ</m:t>
                    </m:r>
                    <m:ctrlPr>
                      <w:rPr>
                        <w:rFonts w:ascii="Cambria Math" w:hAnsi="Cambria Math" w:eastAsiaTheme="minorEastAsia"/>
                        <w:sz w:val="21"/>
                      </w:rPr>
                    </m:ctrlPr>
                  </m:e>
                  <m:sub>
                    <m:r>
                      <m:rPr/>
                      <w:rPr>
                        <w:rFonts w:hint="default" w:ascii="Cambria Math" w:hAnsi="Cambria Math" w:eastAsiaTheme="minorEastAsia"/>
                        <w:sz w:val="21"/>
                      </w:rPr>
                      <m:t>41</m:t>
                    </m:r>
                    <m:ctrlPr>
                      <w:rPr>
                        <w:rFonts w:ascii="Cambria Math" w:hAnsi="Cambria Math" w:eastAsiaTheme="minorEastAsia"/>
                        <w:sz w:val="21"/>
                      </w:rPr>
                    </m:ctrlPr>
                  </m:sub>
                </m:sSub>
                <m:r>
                  <m:rPr/>
                  <w:rPr>
                    <w:rFonts w:hint="default" w:ascii="Cambria Math" w:hAnsi="Cambria Math" w:eastAsiaTheme="minorEastAsia"/>
                    <w:sz w:val="21"/>
                  </w:rPr>
                  <m:t>(MAL</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r>
                  <m:rPr/>
                  <w:rPr>
                    <w:rFonts w:hint="default" w:ascii="Cambria Math" w:hAnsi="Cambria Math" w:eastAsiaTheme="minorEastAsia"/>
                    <w:sz w:val="21"/>
                  </w:rPr>
                  <m:t>×DEPRIV</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j</m:t>
                    </m:r>
                    <m:ctrlPr>
                      <w:rPr>
                        <w:rFonts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mr>
            <m:mr>
              <m:e>
                <m:ctrlPr>
                  <w:rPr>
                    <w:rFonts w:hint="default" w:ascii="Cambria Math" w:hAnsi="Cambria Math" w:eastAsiaTheme="minorEastAsia"/>
                    <w:sz w:val="21"/>
                  </w:rPr>
                </m:ctrlPr>
              </m:e>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00j</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c</m:t>
                    </m:r>
                    <m:ctrlPr>
                      <w:rPr>
                        <w:rFonts w:ascii="Cambria Math" w:hAnsi="Cambria Math" w:eastAsiaTheme="minorEastAsia"/>
                        <w:sz w:val="21"/>
                      </w:rPr>
                    </m:ctrlPr>
                  </m:e>
                  <m:sub>
                    <m:r>
                      <m:rPr/>
                      <w:rPr>
                        <w:rFonts w:hint="default" w:ascii="Cambria Math" w:hAnsi="Cambria Math" w:eastAsiaTheme="minorEastAsia"/>
                        <w:sz w:val="21"/>
                      </w:rPr>
                      <m:t>00k</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ijk</m:t>
                    </m:r>
                    <m:ctrlPr>
                      <w:rPr>
                        <w:rFonts w:ascii="Cambria Math" w:hAnsi="Cambria Math" w:eastAsiaTheme="minorEastAsia"/>
                        <w:sz w:val="21"/>
                      </w:rPr>
                    </m:ctrlPr>
                  </m:sub>
                </m:sSub>
                <m:ctrlPr>
                  <w:rPr>
                    <w:rFonts w:hint="default" w:ascii="Cambria Math" w:hAnsi="Cambria Math" w:eastAsiaTheme="minorEastAsia"/>
                    <w:sz w:val="21"/>
                  </w:rPr>
                </m:ctrlPr>
              </m:e>
            </m:mr>
          </m:m>
        </m:oMath>
      </m:oMathPara>
    </w:p>
    <w:p w14:paraId="256E46BA">
      <w:r>
        <w:rPr>
          <w:rFonts w:ascii="Times New Roman" w:hAnsi="Times New Roman" w:eastAsia="Times New Roman"/>
          <w:b w:val="0"/>
          <w:i w:val="0"/>
          <w:sz w:val="22"/>
        </w:rPr>
        <w:t>The intercept π₀ is the expected attainment for the reference student: a female student, with average prior reading achievement and average father occupational status, whose father is employed, and who is not living in a deprived neighborhood.</w:t>
      </w:r>
    </w:p>
    <w:p w14:paraId="28A76E89">
      <w:r>
        <w:rPr>
          <w:rFonts w:ascii="Times New Roman" w:hAnsi="Times New Roman" w:eastAsia="Times New Roman"/>
          <w:b w:val="0"/>
          <w:i w:val="0"/>
          <w:sz w:val="22"/>
        </w:rPr>
        <w:t>The coefficient γ₀₁ represents the difference in attainment between students in deprived and non-deprived neighborhoods, holding the child-level covariates constant. The coefficients γ₁₀, γ₂₀, γ₃₀, and γ₄₀ represent the effects of prior reading, father occupational status, father unemployment, and gender among students in non-deprived neighborhoods. The interaction terms show whether those child-level effects change when the student lives in a deprived neighborhood.</w:t>
      </w:r>
    </w:p>
    <w:p w14:paraId="68885C6D">
      <w:r>
        <w:rPr>
          <w:rFonts w:ascii="Times New Roman" w:hAnsi="Times New Roman" w:eastAsia="Times New Roman"/>
          <w:b w:val="0"/>
          <w:i w:val="0"/>
          <w:sz w:val="22"/>
        </w:rPr>
        <w:t>The random neighborhood term b₀₀ⱼ captures remaining differences among neighborhoods, averaged over schools. The random school term c₀₀ₖ captures remaining differences among schools, averaged over neighborhoods. The residual eᵢⱼₖ represents the individual student-level deviation from the predicted outcome.</w:t>
      </w:r>
    </w:p>
    <w:p w14:paraId="57DB4281">
      <w:pPr>
        <w:pStyle w:val="4"/>
      </w:pPr>
      <w:r>
        <w:rPr>
          <w:rFonts w:ascii="Times New Roman" w:hAnsi="Times New Roman" w:eastAsia="Times New Roman"/>
          <w:b w:val="0"/>
          <w:i w:val="0"/>
          <w:sz w:val="22"/>
        </w:rPr>
        <w:t>Q2. Association between neighborhood deprivation and achievement</w:t>
      </w:r>
    </w:p>
    <w:p w14:paraId="042898C2">
      <w:pPr>
        <w:jc w:val="center"/>
      </w:pPr>
    </w:p>
    <w:p w14:paraId="0158E6F5">
      <w:pPr>
        <w:jc w:val="center"/>
      </w:pPr>
      <w:r>
        <w:drawing>
          <wp:inline distT="0" distB="0" distL="114300" distR="114300">
            <wp:extent cx="3705225" cy="1495425"/>
            <wp:effectExtent l="0" t="0" r="317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3705225" cy="1495425"/>
                    </a:xfrm>
                    <a:prstGeom prst="rect">
                      <a:avLst/>
                    </a:prstGeom>
                    <a:noFill/>
                    <a:ln>
                      <a:noFill/>
                    </a:ln>
                  </pic:spPr>
                </pic:pic>
              </a:graphicData>
            </a:graphic>
          </wp:inline>
        </w:drawing>
      </w:r>
    </w:p>
    <w:p w14:paraId="7B7AB526">
      <w:r>
        <w:rPr>
          <w:rFonts w:ascii="Times New Roman" w:hAnsi="Times New Roman" w:eastAsia="Times New Roman"/>
          <w:b w:val="0"/>
          <w:i w:val="0"/>
          <w:sz w:val="22"/>
        </w:rPr>
        <w:t>The coefficient for DEPRIVE is -0.1779 with p &lt; .001. This indicates that, after controlling for prior reading achievement, father occupation, father unemployment, and gender, students in deprived neighborhoods have significantly lower expected achievement than students in non-deprived neighborhoods.</w:t>
      </w:r>
    </w:p>
    <w:p w14:paraId="10FD0558">
      <w:r>
        <w:rPr>
          <w:rFonts w:ascii="Times New Roman" w:hAnsi="Times New Roman" w:eastAsia="Times New Roman"/>
          <w:b w:val="0"/>
          <w:i w:val="0"/>
          <w:sz w:val="22"/>
        </w:rPr>
        <w:t>The evidence is statistically strong because the p-value is far below .05. Therefore, I would conclude that neighborhood deprivation is associated with achievement even after the child-level covariates are included in the model.</w:t>
      </w:r>
    </w:p>
    <w:p w14:paraId="511A3471">
      <w:r>
        <w:rPr>
          <w:rFonts w:ascii="Times New Roman" w:hAnsi="Times New Roman" w:eastAsia="Times New Roman"/>
          <w:b w:val="0"/>
          <w:i w:val="0"/>
          <w:sz w:val="22"/>
        </w:rPr>
        <w:t>The model also shows that P7READ has a strong positive relationship with attainment, while DADOCC is also positive and significant. Father unemployment and being male are both negative in this specification, meaning these groups have lower predicted attainment after the other variables are held constant.</w:t>
      </w:r>
    </w:p>
    <w:p w14:paraId="666C1B7D">
      <w:pPr>
        <w:pStyle w:val="4"/>
      </w:pPr>
      <w:r>
        <w:rPr>
          <w:rFonts w:ascii="Times New Roman" w:hAnsi="Times New Roman" w:eastAsia="Times New Roman"/>
          <w:b w:val="0"/>
          <w:i w:val="0"/>
          <w:sz w:val="22"/>
        </w:rPr>
        <w:t>Q3. Does the effect of deprivation vary by school attended?</w:t>
      </w:r>
    </w:p>
    <w:p w14:paraId="55C3489D">
      <w:r>
        <w:rPr>
          <w:rFonts w:ascii="Times New Roman" w:hAnsi="Times New Roman" w:eastAsia="Times New Roman"/>
          <w:b w:val="0"/>
          <w:i w:val="0"/>
          <w:sz w:val="22"/>
        </w:rPr>
        <w:t>The variance component for the neighborhood row effect has p = .127. Because this p-value is greater than .05, there is not enough evidence to say that the neighborhood deprivation effect varies significantly across schools. In other words, the data do not show a statistically significant random variation in the deprivation effect from one school to another.</w:t>
      </w:r>
    </w:p>
    <w:p w14:paraId="67CB3C56">
      <w:r>
        <w:rPr>
          <w:rFonts w:ascii="Times New Roman" w:hAnsi="Times New Roman" w:eastAsia="Times New Roman"/>
          <w:b w:val="0"/>
          <w:i w:val="0"/>
          <w:sz w:val="22"/>
        </w:rPr>
        <w:t>At the same time, the school-level variance component is significant with p &lt; .001. This suggests that there are meaningful differences across schools in average achievement, but it does not by itself show that the deprivation effect changes across schools.</w:t>
      </w:r>
    </w:p>
    <w:p w14:paraId="6FAB7655">
      <w:pPr>
        <w:pStyle w:val="4"/>
      </w:pPr>
      <w:r>
        <w:rPr>
          <w:rFonts w:ascii="Times New Roman" w:hAnsi="Times New Roman" w:eastAsia="Times New Roman"/>
          <w:b w:val="0"/>
          <w:i w:val="0"/>
          <w:sz w:val="22"/>
        </w:rPr>
        <w:t>Q4. Does deprivation change the effects of child-level covariates?</w:t>
      </w:r>
    </w:p>
    <w:p w14:paraId="3E8DF582">
      <w:pPr>
        <w:jc w:val="center"/>
      </w:pPr>
      <w:r>
        <w:drawing>
          <wp:inline distT="0" distB="0" distL="114300" distR="114300">
            <wp:extent cx="6305550" cy="3032125"/>
            <wp:effectExtent l="0" t="0" r="635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6305550" cy="3032125"/>
                    </a:xfrm>
                    <a:prstGeom prst="rect">
                      <a:avLst/>
                    </a:prstGeom>
                    <a:noFill/>
                    <a:ln>
                      <a:noFill/>
                    </a:ln>
                  </pic:spPr>
                </pic:pic>
              </a:graphicData>
            </a:graphic>
          </wp:inline>
        </w:drawing>
      </w:r>
    </w:p>
    <w:p w14:paraId="6215B913">
      <w:r>
        <w:rPr>
          <w:rFonts w:ascii="Times New Roman" w:hAnsi="Times New Roman" w:eastAsia="Times New Roman"/>
          <w:b w:val="0"/>
          <w:i w:val="0"/>
          <w:sz w:val="22"/>
        </w:rPr>
        <w:t>The clearest interaction is between DEPRIVE and DADOCC. The coefficient for DADOCC is 0.009418, while the interaction coefficient is -0.008490 with p &lt; .001. This means that father occupational status has a positive association with attainment in non-deprived neighborhoods, but this positive slope becomes much weaker in deprived neighborhoods.</w:t>
      </w:r>
    </w:p>
    <w:p w14:paraId="694CB3CC">
      <w:r>
        <w:rPr>
          <w:rFonts w:ascii="Times New Roman" w:hAnsi="Times New Roman" w:eastAsia="Times New Roman"/>
          <w:b w:val="0"/>
          <w:i w:val="0"/>
          <w:sz w:val="22"/>
        </w:rPr>
        <w:t>For students in non-deprived neighborhoods, the DADOCC slope is approximately 0.00942. For students in deprived neighborhoods, the combined slope is</w:t>
      </w:r>
      <w:r>
        <w:rPr>
          <w:rFonts w:hint="eastAsia" w:eastAsia="宋体"/>
          <w:b w:val="0"/>
          <w:i w:val="0"/>
          <w:sz w:val="22"/>
          <w:lang w:val="en-US" w:eastAsia="zh-CN"/>
        </w:rPr>
        <w:t xml:space="preserve"> </w:t>
      </w:r>
      <w:r>
        <w:rPr>
          <w:rFonts w:ascii="Cambria Math" w:hAnsi="Cambria Math" w:eastAsia="Cambria Math"/>
          <w:i/>
          <w:sz w:val="22"/>
        </w:rPr>
        <w:t>0.009418 + (-0.008490) = 0.000928</w:t>
      </w:r>
    </w:p>
    <w:p w14:paraId="45A3CB30">
      <w:r>
        <w:rPr>
          <w:rFonts w:ascii="Times New Roman" w:hAnsi="Times New Roman" w:eastAsia="Times New Roman"/>
          <w:b w:val="0"/>
          <w:i w:val="0"/>
          <w:sz w:val="22"/>
        </w:rPr>
        <w:t>Thus, one relatively steep positive line for the non-deprived group and one much flatter line for the deprived group. This pattern is what the model implies: the advantage associated with higher father occupational status is reduced when students live in deprived neighborhoods.</w:t>
      </w:r>
    </w:p>
    <w:p w14:paraId="6E82DA9F">
      <w:r>
        <w:rPr>
          <w:rFonts w:ascii="Times New Roman" w:hAnsi="Times New Roman" w:eastAsia="Times New Roman"/>
          <w:b w:val="0"/>
          <w:i w:val="0"/>
          <w:sz w:val="22"/>
        </w:rPr>
        <w:t>The other interaction terms are not statistically significant: DEPRIVE × P7READ has p = .129, DEPRIVE × DADUNEMP has p = .750, and DEPRIVE × MALE has p = .521. Therefore, the strongest evidence for a moderation effect is specifically for father occupational status rather than for all child-level covariates.</w:t>
      </w:r>
    </w:p>
    <w:p w14:paraId="3D6D26D9">
      <w:r>
        <w:rPr>
          <w:rFonts w:hint="eastAsia" w:eastAsia="宋体"/>
          <w:b w:val="0"/>
          <w:i w:val="0"/>
          <w:sz w:val="22"/>
          <w:lang w:val="en-US" w:eastAsia="zh-CN"/>
        </w:rPr>
        <w:t>T</w:t>
      </w:r>
      <w:bookmarkStart w:id="0" w:name="_GoBack"/>
      <w:bookmarkEnd w:id="0"/>
      <w:r>
        <w:rPr>
          <w:rFonts w:ascii="Times New Roman" w:hAnsi="Times New Roman" w:eastAsia="Times New Roman"/>
          <w:b w:val="0"/>
          <w:i w:val="0"/>
          <w:sz w:val="22"/>
        </w:rPr>
        <w:t>he results show that neighborhood deprivation is negatively related to achievement, even after controlling for prior reading, family background, father employment, and gender. The model also suggests that deprivation weakens the positive relationship between father occupational status and achievement. However, there is not enough evidence that the deprivation effect itself varies significantly from school to school.</w:t>
      </w:r>
    </w:p>
    <w:sectPr>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2661C0"/>
    <w:rsid w:val="12D45D22"/>
    <w:rsid w:val="1CB47967"/>
    <w:rsid w:val="3A4B2127"/>
    <w:rsid w:val="3D1F716A"/>
    <w:rsid w:val="449B593F"/>
    <w:rsid w:val="45F14280"/>
    <w:rsid w:val="535E13F9"/>
    <w:rsid w:val="60BF45C4"/>
    <w:rsid w:val="70D805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485</Words>
  <Characters>2570</Characters>
  <Lines>0</Lines>
  <Paragraphs>0</Paragraphs>
  <TotalTime>124</TotalTime>
  <ScaleCrop>false</ScaleCrop>
  <LinksUpToDate>false</LinksUpToDate>
  <CharactersWithSpaces>3014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loomboo</cp:lastModifiedBy>
  <dcterms:modified xsi:type="dcterms:W3CDTF">2026-05-17T01:51:17Z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eyJoZGlkIjoiMmVhODY3YWJhZmRmOTM1OTc4OWI5MDc0OTk1N2NhODMiLCJ1c2VySWQiOiIyNDYyMzc4NjcifQ==</vt:lpwstr>
  </property>
  <property fmtid="{D5CDD505-2E9C-101B-9397-08002B2CF9AE}" pid="3" name="KSOProductBuildVer">
    <vt:lpwstr>2052-12.1.0.25865</vt:lpwstr>
  </property>
  <property fmtid="{D5CDD505-2E9C-101B-9397-08002B2CF9AE}" pid="4" name="ICV">
    <vt:lpwstr>8DE888F6C35E42B8B31F097E95FFF2B9_12</vt:lpwstr>
  </property>
</Properties>
</file>