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18B86">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ascii="Segoe UI" w:hAnsi="Segoe UI" w:eastAsia="Segoe UI" w:cs="Segoe UI"/>
          <w:i w:val="0"/>
          <w:iCs w:val="0"/>
          <w:caps w:val="0"/>
          <w:spacing w:val="1"/>
        </w:rPr>
      </w:pPr>
      <w:r>
        <w:rPr>
          <w:rFonts w:hint="eastAsia" w:ascii="Segoe UI" w:hAnsi="Segoe UI" w:cs="Segoe UI"/>
          <w:i w:val="0"/>
          <w:iCs w:val="0"/>
          <w:caps w:val="0"/>
          <w:spacing w:val="1"/>
          <w:bdr w:val="single" w:color="auto" w:sz="2" w:space="0"/>
          <w:lang w:val="en-US" w:eastAsia="zh-CN"/>
        </w:rPr>
        <w:t>参考专利</w:t>
      </w:r>
      <w:r>
        <w:rPr>
          <w:rFonts w:hint="default" w:ascii="Segoe UI" w:hAnsi="Segoe UI" w:eastAsia="Segoe UI" w:cs="Segoe UI"/>
          <w:i w:val="0"/>
          <w:iCs w:val="0"/>
          <w:caps w:val="0"/>
          <w:spacing w:val="1"/>
          <w:bdr w:val="single" w:color="auto" w:sz="2" w:space="0"/>
        </w:rPr>
        <w:t>CN102131546B</w:t>
      </w:r>
    </w:p>
    <w:p w14:paraId="36AD37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rPr>
          <w:rFonts w:ascii="Segoe UI" w:hAnsi="Segoe UI" w:eastAsia="Segoe UI" w:cs="Segoe UI"/>
          <w:i w:val="0"/>
          <w:iCs w:val="0"/>
          <w:caps w:val="0"/>
          <w:spacing w:val="1"/>
          <w:sz w:val="19"/>
          <w:szCs w:val="19"/>
        </w:rPr>
      </w:pPr>
      <w:r>
        <w:rPr>
          <w:rStyle w:val="6"/>
          <w:rFonts w:hint="default" w:ascii="Segoe UI" w:hAnsi="Segoe UI" w:eastAsia="Segoe UI" w:cs="Segoe UI"/>
          <w:i w:val="0"/>
          <w:iCs w:val="0"/>
          <w:caps w:val="0"/>
          <w:spacing w:val="1"/>
          <w:sz w:val="19"/>
          <w:szCs w:val="19"/>
          <w:bdr w:val="single" w:color="auto" w:sz="2" w:space="0"/>
        </w:rPr>
        <w:t>1. 测量装置（151）</w:t>
      </w:r>
    </w:p>
    <w:p w14:paraId="44A3D55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1"/>
          <w:sz w:val="19"/>
          <w:szCs w:val="19"/>
        </w:rPr>
        <w:t>定义一个</w:t>
      </w:r>
      <w:r>
        <w:rPr>
          <w:rStyle w:val="6"/>
          <w:rFonts w:hint="default" w:ascii="Segoe UI" w:hAnsi="Segoe UI" w:eastAsia="Segoe UI" w:cs="Segoe UI"/>
          <w:i w:val="0"/>
          <w:iCs w:val="0"/>
          <w:caps w:val="0"/>
          <w:spacing w:val="1"/>
          <w:sz w:val="19"/>
          <w:szCs w:val="19"/>
          <w:bdr w:val="single" w:color="auto" w:sz="2" w:space="0"/>
        </w:rPr>
        <w:t>测量区域Zm</w:t>
      </w:r>
      <w:r>
        <w:rPr>
          <w:rFonts w:hint="default" w:ascii="Segoe UI" w:hAnsi="Segoe UI" w:eastAsia="Segoe UI" w:cs="Segoe UI"/>
          <w:i w:val="0"/>
          <w:iCs w:val="0"/>
          <w:caps w:val="0"/>
          <w:spacing w:val="1"/>
          <w:sz w:val="19"/>
          <w:szCs w:val="19"/>
        </w:rPr>
        <w:t>，该区域通常包含或邻近HIFU焦点</w:t>
      </w:r>
    </w:p>
    <w:p w14:paraId="0782C8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1"/>
          <w:sz w:val="19"/>
          <w:szCs w:val="19"/>
        </w:rPr>
        <w:t>对激发期间获取的每个干扰图像，测量该区域内的</w:t>
      </w:r>
      <w:r>
        <w:rPr>
          <w:rStyle w:val="6"/>
          <w:rFonts w:hint="default" w:ascii="Segoe UI" w:hAnsi="Segoe UI" w:eastAsia="Segoe UI" w:cs="Segoe UI"/>
          <w:i w:val="0"/>
          <w:iCs w:val="0"/>
          <w:caps w:val="0"/>
          <w:spacing w:val="1"/>
          <w:sz w:val="19"/>
          <w:szCs w:val="19"/>
          <w:bdr w:val="single" w:color="auto" w:sz="2" w:space="0"/>
        </w:rPr>
        <w:t>平均灰度值</w:t>
      </w:r>
      <w:r>
        <w:rPr>
          <w:rFonts w:hint="default" w:ascii="Segoe UI" w:hAnsi="Segoe UI" w:eastAsia="Segoe UI" w:cs="Segoe UI"/>
          <w:i w:val="0"/>
          <w:iCs w:val="0"/>
          <w:caps w:val="0"/>
          <w:spacing w:val="1"/>
          <w:sz w:val="19"/>
          <w:szCs w:val="19"/>
        </w:rPr>
        <w:t>（对于黑白图像）</w:t>
      </w:r>
    </w:p>
    <w:p w14:paraId="4B75A8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1"/>
          <w:sz w:val="19"/>
          <w:szCs w:val="19"/>
        </w:rPr>
        <w:t>记录这些灰度值的时间序列变化</w:t>
      </w:r>
    </w:p>
    <w:p w14:paraId="26AE00A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rPr>
          <w:rFonts w:hint="default" w:ascii="Segoe UI" w:hAnsi="Segoe UI" w:eastAsia="Segoe UI" w:cs="Segoe UI"/>
          <w:i w:val="0"/>
          <w:iCs w:val="0"/>
          <w:caps w:val="0"/>
          <w:spacing w:val="1"/>
          <w:sz w:val="19"/>
          <w:szCs w:val="19"/>
        </w:rPr>
      </w:pPr>
      <w:r>
        <w:rPr>
          <w:rStyle w:val="6"/>
          <w:rFonts w:hint="default" w:ascii="Segoe UI" w:hAnsi="Segoe UI" w:eastAsia="Segoe UI" w:cs="Segoe UI"/>
          <w:i w:val="0"/>
          <w:iCs w:val="0"/>
          <w:caps w:val="0"/>
          <w:spacing w:val="1"/>
          <w:sz w:val="19"/>
          <w:szCs w:val="19"/>
          <w:bdr w:val="single" w:color="auto" w:sz="2" w:space="0"/>
        </w:rPr>
        <w:t>2. 检测装置（150）</w:t>
      </w:r>
    </w:p>
    <w:p w14:paraId="697E9FF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pPr>
      <w:r>
        <w:rPr>
          <w:rFonts w:hint="default" w:ascii="Segoe UI" w:hAnsi="Segoe UI" w:eastAsia="Segoe UI" w:cs="Segoe UI"/>
          <w:i w:val="0"/>
          <w:iCs w:val="0"/>
          <w:caps w:val="0"/>
          <w:spacing w:val="1"/>
          <w:sz w:val="19"/>
          <w:szCs w:val="19"/>
        </w:rPr>
        <w:t>监测连续干扰图像之间的灰度值</w:t>
      </w:r>
      <w:r>
        <w:rPr>
          <w:rStyle w:val="6"/>
          <w:rFonts w:hint="default" w:ascii="Segoe UI" w:hAnsi="Segoe UI" w:eastAsia="Segoe UI" w:cs="Segoe UI"/>
          <w:i w:val="0"/>
          <w:iCs w:val="0"/>
          <w:caps w:val="0"/>
          <w:spacing w:val="1"/>
          <w:sz w:val="19"/>
          <w:szCs w:val="19"/>
          <w:bdr w:val="single" w:color="auto" w:sz="2" w:space="0"/>
        </w:rPr>
        <w:t>突然增加</w:t>
      </w:r>
    </w:p>
    <w:p w14:paraId="32C894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rPr>
          <w:rFonts w:hint="eastAsia" w:eastAsia="宋体"/>
          <w:lang w:eastAsia="zh-CN"/>
        </w:rPr>
      </w:pPr>
      <w:r>
        <w:rPr>
          <w:rFonts w:hint="default" w:ascii="Segoe UI" w:hAnsi="Segoe UI" w:eastAsia="Segoe UI" w:cs="Segoe UI"/>
          <w:i w:val="0"/>
          <w:iCs w:val="0"/>
          <w:caps w:val="0"/>
          <w:spacing w:val="1"/>
          <w:sz w:val="19"/>
          <w:szCs w:val="19"/>
        </w:rPr>
        <w:t>当检测到突然增加时，触发报警信号</w:t>
      </w:r>
      <w:r>
        <w:rPr>
          <w:rFonts w:hint="eastAsia" w:ascii="Segoe UI" w:hAnsi="Segoe UI" w:eastAsia="宋体" w:cs="Segoe UI"/>
          <w:i w:val="0"/>
          <w:iCs w:val="0"/>
          <w:caps w:val="0"/>
          <w:spacing w:val="1"/>
          <w:sz w:val="19"/>
          <w:szCs w:val="19"/>
          <w:lang w:eastAsia="zh-CN"/>
        </w:rPr>
        <w:t>。</w:t>
      </w:r>
    </w:p>
    <w:p w14:paraId="1CFC7C3C">
      <w:r>
        <w:drawing>
          <wp:inline distT="0" distB="0" distL="114300" distR="114300">
            <wp:extent cx="5269230" cy="484632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4846320"/>
                    </a:xfrm>
                    <a:prstGeom prst="rect">
                      <a:avLst/>
                    </a:prstGeom>
                    <a:noFill/>
                    <a:ln>
                      <a:noFill/>
                    </a:ln>
                  </pic:spPr>
                </pic:pic>
              </a:graphicData>
            </a:graphic>
          </wp:inline>
        </w:drawing>
      </w:r>
    </w:p>
    <w:p w14:paraId="62862C4E">
      <w:pPr>
        <w:rPr>
          <w:rFonts w:hint="eastAsia"/>
          <w:lang w:val="en-US" w:eastAsia="zh-CN"/>
        </w:rPr>
      </w:pPr>
      <w:r>
        <w:rPr>
          <w:rFonts w:hint="eastAsia"/>
          <w:lang w:val="en-US" w:eastAsia="zh-CN"/>
        </w:rPr>
        <w:t>设计思路</w:t>
      </w:r>
    </w:p>
    <w:p w14:paraId="386C3B31">
      <w:pPr>
        <w:rPr>
          <w:rFonts w:hint="default"/>
          <w:lang w:val="en-US" w:eastAsia="zh-CN"/>
        </w:rPr>
      </w:pPr>
    </w:p>
    <w:p w14:paraId="2BAD9161">
      <w:pPr>
        <w:numPr>
          <w:ilvl w:val="0"/>
          <w:numId w:val="1"/>
        </w:numPr>
        <w:rPr>
          <w:rFonts w:hint="eastAsia"/>
          <w:lang w:val="en-US" w:eastAsia="zh-CN"/>
        </w:rPr>
      </w:pPr>
      <w:r>
        <w:rPr>
          <w:rFonts w:hint="eastAsia"/>
          <w:lang w:val="en-US" w:eastAsia="zh-CN"/>
        </w:rPr>
        <w:t>在焦点附近开辟一块ROI区域，在治疗过程中监控ROI区域的灰度值，如果此ROI区域中的灰度值最大与最小差异值较大，或灰度值整体与正常发射的灰色区域的平均值偏差多大，说明这块区域中截取到的是未发射的图像或者是发射间隙的人体影像。</w:t>
      </w:r>
    </w:p>
    <w:p w14:paraId="18621E8B">
      <w:pPr>
        <w:numPr>
          <w:ilvl w:val="0"/>
          <w:numId w:val="1"/>
        </w:numPr>
        <w:rPr>
          <w:rFonts w:hint="default"/>
          <w:lang w:val="en-US" w:eastAsia="zh-CN"/>
        </w:rPr>
      </w:pPr>
      <w:r>
        <w:rPr>
          <w:rFonts w:hint="eastAsia"/>
          <w:lang w:val="en-US" w:eastAsia="zh-CN"/>
        </w:rPr>
        <w:t xml:space="preserve"> 方案1：收集整个发射过程中所有的符合要求的ROI灰度数据，并进行对比分析，如果出现灰度值突然前后增大，表明HEM出现。</w:t>
      </w:r>
    </w:p>
    <w:p w14:paraId="44AE6B15">
      <w:pPr>
        <w:ind w:firstLine="420" w:firstLineChars="200"/>
        <w:rPr>
          <w:rFonts w:hint="eastAsia"/>
          <w:lang w:val="en-US" w:eastAsia="zh-CN"/>
        </w:rPr>
      </w:pPr>
      <w:r>
        <w:rPr>
          <w:rFonts w:hint="eastAsia"/>
          <w:lang w:val="en-US" w:eastAsia="zh-CN"/>
        </w:rPr>
        <w:t>方案2：收集整个发射过程中所有的符合要求的ROI灰度数据，并进行对比分析，如果出现灰度值与某一阈值相比出现增大，表明HEM出现。</w:t>
      </w:r>
    </w:p>
    <w:p w14:paraId="51C43FBD">
      <w:pPr>
        <w:ind w:firstLine="420" w:firstLineChars="200"/>
        <w:rPr>
          <w:rFonts w:hint="eastAsia"/>
          <w:lang w:val="en-US" w:eastAsia="zh-CN"/>
        </w:rPr>
      </w:pPr>
      <w:r>
        <w:rPr>
          <w:rFonts w:hint="eastAsia"/>
          <w:lang w:val="en-US" w:eastAsia="zh-CN"/>
        </w:rPr>
        <w:t>方案3：收集整个发射过程中所有的符合要求的ROI灰度数据，并进行对比分析，如果出现灰度值与同一帧其它水平方向某一截取框中灰度值相比出现增大，表明HEM出现。（即焦点处灰度比离焦点较远的发射灰度偏差较大）</w:t>
      </w:r>
    </w:p>
    <w:p w14:paraId="4454DFF0">
      <w:pPr>
        <w:ind w:firstLine="420" w:firstLineChars="200"/>
        <w:rPr>
          <w:rFonts w:hint="eastAsia"/>
          <w:lang w:val="en-US" w:eastAsia="zh-CN"/>
        </w:rPr>
      </w:pPr>
    </w:p>
    <w:p w14:paraId="72643451">
      <w:pPr>
        <w:rPr>
          <w:rFonts w:hint="eastAsia"/>
          <w:lang w:val="en-US" w:eastAsia="zh-CN"/>
        </w:rPr>
      </w:pPr>
      <w:r>
        <w:rPr>
          <w:rFonts w:hint="eastAsia"/>
          <w:lang w:val="en-US" w:eastAsia="zh-CN"/>
        </w:rPr>
        <w:t>问题：</w:t>
      </w:r>
    </w:p>
    <w:p w14:paraId="58892447">
      <w:pPr>
        <w:numPr>
          <w:ilvl w:val="0"/>
          <w:numId w:val="2"/>
        </w:numPr>
        <w:rPr>
          <w:rFonts w:hint="eastAsia"/>
          <w:lang w:val="en-US" w:eastAsia="zh-CN"/>
        </w:rPr>
      </w:pPr>
      <w:r>
        <w:rPr>
          <w:rFonts w:hint="eastAsia"/>
          <w:lang w:val="en-US" w:eastAsia="zh-CN"/>
        </w:rPr>
        <w:t>可能截取不到那么多符合要求的ROI图像。</w:t>
      </w:r>
    </w:p>
    <w:p w14:paraId="7CB4B2BC">
      <w:pPr>
        <w:numPr>
          <w:ilvl w:val="0"/>
          <w:numId w:val="2"/>
        </w:numPr>
        <w:rPr>
          <w:rFonts w:hint="default"/>
          <w:lang w:val="en-US" w:eastAsia="zh-CN"/>
        </w:rPr>
      </w:pPr>
      <w:r>
        <w:rPr>
          <w:rFonts w:hint="eastAsia"/>
          <w:lang w:val="en-US" w:eastAsia="zh-CN"/>
        </w:rPr>
        <w:t>可能灰度差异没有那么大，无论用哪个方案都没有办法很显著的区分。</w:t>
      </w:r>
    </w:p>
    <w:p w14:paraId="5C82CCC6">
      <w:pPr>
        <w:numPr>
          <w:ilvl w:val="0"/>
          <w:numId w:val="2"/>
        </w:numPr>
        <w:rPr>
          <w:rFonts w:hint="default"/>
          <w:lang w:val="en-US" w:eastAsia="zh-CN"/>
        </w:rPr>
      </w:pPr>
      <w:r>
        <w:rPr>
          <w:rFonts w:hint="eastAsia"/>
          <w:lang w:val="en-US" w:eastAsia="zh-CN"/>
        </w:rPr>
        <w:t>可能没有办法这么快速度处理视频流。</w:t>
      </w:r>
      <w:bookmarkStart w:id="0" w:name="_GoBack"/>
      <w:bookmarkEnd w:id="0"/>
    </w:p>
    <w:p w14:paraId="3DF65358">
      <w:pPr>
        <w:ind w:firstLine="420" w:firstLineChars="20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87F596"/>
    <w:multiLevelType w:val="singleLevel"/>
    <w:tmpl w:val="1A87F596"/>
    <w:lvl w:ilvl="0" w:tentative="0">
      <w:start w:val="1"/>
      <w:numFmt w:val="decimal"/>
      <w:suff w:val="nothing"/>
      <w:lvlText w:val="%1，"/>
      <w:lvlJc w:val="left"/>
    </w:lvl>
  </w:abstractNum>
  <w:abstractNum w:abstractNumId="1">
    <w:nsid w:val="1B89BE6B"/>
    <w:multiLevelType w:val="singleLevel"/>
    <w:tmpl w:val="1B89BE6B"/>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B3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2025-11-06T00:54:27Z</dcterms:created>
  <dc:creator>vip</dc:creator>
  <cp:lastModifiedBy>Young</cp:lastModifiedBy>
  <dcterms:modified xsi:type="dcterms:W3CDTF">2025-11-06T01:18:23Z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eyJoZGlkIjoiN2EwY2I0MTM1OWM3ZTlkYzA4YmRmZDA0NzEyN2E5YTAifQ==</vt:lpwstr>
  </property>
  <property fmtid="{D5CDD505-2E9C-101B-9397-08002B2CF9AE}" pid="4" name="ICV">
    <vt:lpwstr>EE7857D71FFF4074A6C293DF01DF6BBE_12</vt:lpwstr>
  </property>
</Properties>
</file>