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382e7c951b4bf4" /><Relationship Type="http://schemas.openxmlformats.org/package/2006/relationships/metadata/core-properties" Target="/docProps/core.xml" Id="R8cb618c69f0349f9" /><Relationship Type="http://schemas.openxmlformats.org/officeDocument/2006/relationships/extended-properties" Target="/docProps/app.xml" Id="R0721f084349a4635" /><Relationship Type="http://schemas.openxmlformats.org/officeDocument/2006/relationships/custom-properties" Target="/docProps/custom.xml" Id="Ree2a2c16983848d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送审目录与审查导读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零零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QA 负责人、验证负责人、文件管理员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一、交付定位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本目录用于药监现场核查或审查沟通时快速定位材料。分册结构将验证策略、系统影响、风险评估、需求、设计、测试、追溯、偏差、供应商、总结和运行维护分开管理，避免将所有证据混入一个汇总文件。</w:t>
      </w:r>
    </w:p>
    <w:p w14:paraId="00100026" w14:textId="00100027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本包为正式送审流转版。企业应在提交前完成签章、执行记录、培训记录、供应商评估、接口对账和偏差关闭；未补齐时，不得将未执行事项表述为已经通过。</w:t>
      </w:r>
    </w:p>
    <w:p w14:paraId="00100028" w14:textId="00100029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二、分册目录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分册目录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2A" w14:textId="0010007A"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fill="1F4E79"/>
          </w:tcPr>
          <w:p w14:paraId="0010002C" w14:textId="0010007B">
            <w:r>
              <w:rPr>
                <w:b/>
                <w:color w:val="FFFFFF"/>
              </w:rPr>
              <w:t xml:space="preserve">分册文件</w:t>
            </w:r>
          </w:p>
        </w:tc>
        <w:tc>
          <w:tcPr>
            <w:shd w:val="clear" w:fill="1F4E79"/>
          </w:tcPr>
          <w:p w14:paraId="0010002E" w14:textId="0010007C">
            <w:r>
              <w:rPr>
                <w:b/>
                <w:color w:val="FFFFFF"/>
              </w:rPr>
              <w:t xml:space="preserve">用途</w:t>
            </w:r>
          </w:p>
        </w:tc>
        <w:tc>
          <w:tcPr>
            <w:shd w:val="clear" w:fill="1F4E79"/>
          </w:tcPr>
          <w:p w14:paraId="00100030" w14:textId="0010007D">
            <w:r>
              <w:rPr>
                <w:b/>
                <w:color w:val="FFFFFF"/>
              </w:rPr>
              <w:t xml:space="preserve">提交属性</w:t>
            </w:r>
          </w:p>
        </w:tc>
      </w:tr>
      <w:tr>
        <w:trPr/>
        <w:tc>
          <w:p w14:paraId="00100032" w14:textId="00100033">
            <w:r>
              <w:t xml:space="preserve">零零</w:t>
            </w:r>
          </w:p>
        </w:tc>
        <w:tc>
          <w:p w14:paraId="00100034" w14:textId="00100035">
            <w:r>
              <w:t xml:space="preserve">送审目录与审查导读</w:t>
            </w:r>
          </w:p>
        </w:tc>
        <w:tc>
          <w:p w14:paraId="00100036" w14:textId="00100037">
            <w:r>
              <w:t xml:space="preserve">给审核老师快速了解范围、证据和缺口。</w:t>
            </w:r>
          </w:p>
        </w:tc>
        <w:tc>
          <w:p w14:paraId="00100038" w14:textId="00100039">
            <w:r>
              <w:t xml:space="preserve">主目录</w:t>
            </w:r>
          </w:p>
        </w:tc>
      </w:tr>
      <w:tr>
        <w:trPr/>
        <w:tc>
          <w:tcPr>
            <w:shd w:val="clear" w:fill="F3F6FA"/>
          </w:tcPr>
          <w:p w14:paraId="0010003A" w14:textId="0010003B">
            <w:r>
              <w:t xml:space="preserve">零一</w:t>
            </w:r>
          </w:p>
        </w:tc>
        <w:tc>
          <w:tcPr>
            <w:shd w:val="clear" w:fill="F3F6FA"/>
          </w:tcPr>
          <w:p w14:paraId="0010003C" w14:textId="0010003D">
            <w:r>
              <w:t xml:space="preserve">CSV 验证总计划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定义验证策略、角色、V 模型、放行门禁。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主文件</w:t>
            </w:r>
          </w:p>
        </w:tc>
      </w:tr>
      <w:tr>
        <w:trPr/>
        <w:tc>
          <w:p w14:paraId="00100042" w14:textId="00100043">
            <w:r>
              <w:t xml:space="preserve">零二</w:t>
            </w:r>
          </w:p>
        </w:tc>
        <w:tc>
          <w:p w14:paraId="00100044" w14:textId="00100045">
            <w:r>
              <w:t xml:space="preserve">系统清单与 GxP 影响评估</w:t>
            </w:r>
          </w:p>
        </w:tc>
        <w:tc>
          <w:p w14:paraId="00100046" w14:textId="00100047">
            <w:r>
              <w:t xml:space="preserve">界定系统边界、模块、记录、接口和责任。</w:t>
            </w:r>
          </w:p>
        </w:tc>
        <w:tc>
          <w:p w14:paraId="00100048" w14:textId="00100049">
            <w:r>
              <w:t xml:space="preserve">主文件</w:t>
            </w:r>
          </w:p>
        </w:tc>
      </w:tr>
      <w:tr>
        <w:trPr/>
        <w:tc>
          <w:tcPr>
            <w:shd w:val="clear" w:fill="F3F6FA"/>
          </w:tcPr>
          <w:p w14:paraId="0010004A" w14:textId="0010004B">
            <w:r>
              <w:t xml:space="preserve">零三</w:t>
            </w:r>
          </w:p>
        </w:tc>
        <w:tc>
          <w:tcPr>
            <w:shd w:val="clear" w:fill="F3F6FA"/>
          </w:tcPr>
          <w:p w14:paraId="0010004C" w14:textId="0010004D">
            <w:r>
              <w:t xml:space="preserve">GAMP 分类与风险评估报告</w:t>
            </w:r>
          </w:p>
        </w:tc>
        <w:tc>
          <w:tcPr>
            <w:shd w:val="clear" w:fill="F3F6FA"/>
          </w:tcPr>
          <w:p w14:paraId="0010004E" w14:textId="0010004F">
            <w:r>
              <w:t xml:space="preserve">说明类别、风险评分和测试深度。</w:t>
            </w:r>
          </w:p>
        </w:tc>
        <w:tc>
          <w:tcPr>
            <w:shd w:val="clear" w:fill="F3F6FA"/>
          </w:tcPr>
          <w:p w14:paraId="00100050" w14:textId="00100051">
            <w:r>
              <w:t xml:space="preserve">主文件</w:t>
            </w:r>
          </w:p>
        </w:tc>
      </w:tr>
      <w:tr>
        <w:trPr/>
        <w:tc>
          <w:p w14:paraId="00100052" w14:textId="00100053">
            <w:r>
              <w:t xml:space="preserve">零四</w:t>
            </w:r>
          </w:p>
        </w:tc>
        <w:tc>
          <w:p w14:paraId="00100054" w14:textId="00100055">
            <w:r>
              <w:t xml:space="preserve">用户需求说明书</w:t>
            </w:r>
          </w:p>
        </w:tc>
        <w:tc>
          <w:p w14:paraId="00100056" w14:textId="00100057">
            <w:r>
              <w:t xml:space="preserve">描述预定用途、角色和高风险需求。</w:t>
            </w:r>
          </w:p>
        </w:tc>
        <w:tc>
          <w:p w14:paraId="00100058" w14:textId="00100059">
            <w:r>
              <w:t xml:space="preserve">主文件</w:t>
            </w:r>
          </w:p>
        </w:tc>
      </w:tr>
      <w:tr>
        <w:trPr/>
        <w:tc>
          <w:tcPr>
            <w:shd w:val="clear" w:fill="F3F6FA"/>
          </w:tcPr>
          <w:p w14:paraId="0010005A" w14:textId="0010005B">
            <w:r>
              <w:t xml:space="preserve">零五</w:t>
            </w:r>
          </w:p>
        </w:tc>
        <w:tc>
          <w:tcPr>
            <w:shd w:val="clear" w:fill="F3F6FA"/>
          </w:tcPr>
          <w:p w14:paraId="0010005C" w14:textId="0010005D">
            <w:r>
              <w:t xml:space="preserve">功能配置与设计说明</w:t>
            </w:r>
          </w:p>
        </w:tc>
        <w:tc>
          <w:tcPr>
            <w:shd w:val="clear" w:fill="F3F6FA"/>
          </w:tcPr>
          <w:p w14:paraId="0010005E" w14:textId="0010005F">
            <w:r>
              <w:t xml:space="preserve">说明功能、配置、安全、审计和接口设计。</w:t>
            </w:r>
          </w:p>
        </w:tc>
        <w:tc>
          <w:tcPr>
            <w:shd w:val="clear" w:fill="F3F6FA"/>
          </w:tcPr>
          <w:p w14:paraId="00100060" w14:textId="00100061">
            <w:r>
              <w:t xml:space="preserve">主文件</w:t>
            </w:r>
          </w:p>
        </w:tc>
      </w:tr>
      <w:tr>
        <w:trPr/>
        <w:tc>
          <w:p w14:paraId="00100062" w14:textId="00100063">
            <w:r>
              <w:t xml:space="preserve">零六至零八</w:t>
            </w:r>
          </w:p>
        </w:tc>
        <w:tc>
          <w:p w14:paraId="00100064" w14:textId="00100065">
            <w:r>
              <w:t xml:space="preserve">IQ、OQ、PQ 方案与记录</w:t>
            </w:r>
          </w:p>
        </w:tc>
        <w:tc>
          <w:p w14:paraId="00100066" w14:textId="00100067">
            <w:r>
              <w:t xml:space="preserve">分别证明安装、运行和预期用途。</w:t>
            </w:r>
          </w:p>
        </w:tc>
        <w:tc>
          <w:p w14:paraId="00100068" w14:textId="00100069">
            <w:r>
              <w:t xml:space="preserve">执行记录</w:t>
            </w:r>
          </w:p>
        </w:tc>
      </w:tr>
      <w:tr>
        <w:trPr/>
        <w:tc>
          <w:tcPr>
            <w:shd w:val="clear" w:fill="F3F6FA"/>
          </w:tcPr>
          <w:p w14:paraId="0010006A" w14:textId="0010006B">
            <w:r>
              <w:t xml:space="preserve">零九</w:t>
            </w:r>
          </w:p>
        </w:tc>
        <w:tc>
          <w:tcPr>
            <w:shd w:val="clear" w:fill="F3F6FA"/>
          </w:tcPr>
          <w:p w14:paraId="0010006C" w14:textId="0010006D">
            <w:r>
              <w:t xml:space="preserve">追溯矩阵</w:t>
            </w:r>
          </w:p>
        </w:tc>
        <w:tc>
          <w:tcPr>
            <w:shd w:val="clear" w:fill="F3F6FA"/>
          </w:tcPr>
          <w:p w14:paraId="0010006E" w14:textId="0010006F">
            <w:r>
              <w:t xml:space="preserve">连接需求、风险、设计、测试和结果。</w:t>
            </w:r>
          </w:p>
        </w:tc>
        <w:tc>
          <w:tcPr>
            <w:shd w:val="clear" w:fill="F3F6FA"/>
          </w:tcPr>
          <w:p w14:paraId="00100070" w14:textId="00100071">
            <w:r>
              <w:t xml:space="preserve">核心证据</w:t>
            </w:r>
          </w:p>
        </w:tc>
      </w:tr>
      <w:tr>
        <w:trPr/>
        <w:tc>
          <w:p w14:paraId="00100072" w14:textId="00100073">
            <w:r>
              <w:t xml:space="preserve">十至十四</w:t>
            </w:r>
          </w:p>
        </w:tc>
        <w:tc>
          <w:p w14:paraId="00100074" w14:textId="00100075">
            <w:r>
              <w:t xml:space="preserve">偏差、供应商、VSR、维护、QMS 培训</w:t>
            </w:r>
          </w:p>
        </w:tc>
        <w:tc>
          <w:p w14:paraId="00100076" w14:textId="00100077">
            <w:r>
              <w:t xml:space="preserve">完成质量体系闭环和最终批准。</w:t>
            </w:r>
          </w:p>
        </w:tc>
        <w:tc>
          <w:p w14:paraId="00100078" w14:textId="00100079">
            <w:r>
              <w:t xml:space="preserve">闭环证据</w:t>
            </w:r>
          </w:p>
        </w:tc>
      </w:tr>
    </w:tbl>
    <w:p w14:paraId="0010007E" w14:textId="0010007F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三、提交前总门禁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提交前总门禁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80" w14:textId="001000A8">
            <w:r>
              <w:rPr>
                <w:b/>
                <w:color w:val="FFFFFF"/>
              </w:rPr>
              <w:t xml:space="preserve">门禁</w:t>
            </w:r>
          </w:p>
        </w:tc>
        <w:tc>
          <w:tcPr>
            <w:shd w:val="clear" w:fill="1F4E79"/>
          </w:tcPr>
          <w:p w14:paraId="00100082" w14:textId="001000A9">
            <w:r>
              <w:rPr>
                <w:b/>
                <w:color w:val="FFFFFF"/>
              </w:rPr>
              <w:t xml:space="preserve">必须完成的证据</w:t>
            </w:r>
          </w:p>
        </w:tc>
        <w:tc>
          <w:tcPr>
            <w:shd w:val="clear" w:fill="1F4E79"/>
          </w:tcPr>
          <w:p w14:paraId="00100084" w14:textId="001000AA">
            <w:r>
              <w:rPr>
                <w:b/>
                <w:color w:val="FFFFFF"/>
              </w:rPr>
              <w:t xml:space="preserve">责任人</w:t>
            </w:r>
          </w:p>
        </w:tc>
        <w:tc>
          <w:tcPr>
            <w:shd w:val="clear" w:fill="1F4E79"/>
          </w:tcPr>
          <w:p w14:paraId="00100086" w14:textId="001000AB">
            <w:r>
              <w:rPr>
                <w:b/>
                <w:color w:val="FFFFFF"/>
              </w:rPr>
              <w:t xml:space="preserve">未完成影响</w:t>
            </w:r>
          </w:p>
        </w:tc>
      </w:tr>
      <w:tr>
        <w:trPr/>
        <w:tc>
          <w:p w14:paraId="00100088" w14:textId="00100089">
            <w:r>
              <w:t xml:space="preserve">签字批准</w:t>
            </w:r>
          </w:p>
        </w:tc>
        <w:tc>
          <w:p w14:paraId="0010008A" w14:textId="0010008B">
            <w:r>
              <w:t xml:space="preserve">验证计划、风险评估、URS、FS、测试记录、VSR 均完成企业授权签字。</w:t>
            </w:r>
          </w:p>
        </w:tc>
        <w:tc>
          <w:p w14:paraId="0010008C" w14:textId="0010008D">
            <w:r>
              <w:t xml:space="preserve">QA、业务、IT、验证负责人</w:t>
            </w:r>
          </w:p>
        </w:tc>
        <w:tc>
          <w:p w14:paraId="0010008E" w14:textId="0010008F">
            <w:r>
              <w:t xml:space="preserve">不能作为正式验证结论。</w:t>
            </w:r>
          </w:p>
        </w:tc>
      </w:tr>
      <w:tr>
        <w:trPr/>
        <w:tc>
          <w:tcPr>
            <w:shd w:val="clear" w:fill="F3F6FA"/>
          </w:tcPr>
          <w:p w14:paraId="00100090" w14:textId="00100091">
            <w:r>
              <w:t xml:space="preserve">执行记录</w:t>
            </w:r>
          </w:p>
        </w:tc>
        <w:tc>
          <w:tcPr>
            <w:shd w:val="clear" w:fill="F3F6FA"/>
          </w:tcPr>
          <w:p w14:paraId="00100092" w14:textId="00100093">
            <w:r>
              <w:t xml:space="preserve">IQ、OQ、PQ 每步实际结果、证据截图、偏差编号和复核意见齐全。</w:t>
            </w:r>
          </w:p>
        </w:tc>
        <w:tc>
          <w:tcPr>
            <w:shd w:val="clear" w:fill="F3F6FA"/>
          </w:tcPr>
          <w:p w14:paraId="00100094" w14:textId="00100095">
            <w:r>
              <w:t xml:space="preserve">验证执行人、见证人、QA</w:t>
            </w:r>
          </w:p>
        </w:tc>
        <w:tc>
          <w:tcPr>
            <w:shd w:val="clear" w:fill="F3F6FA"/>
          </w:tcPr>
          <w:p w14:paraId="00100096" w14:textId="00100097">
            <w:r>
              <w:t xml:space="preserve">不能证明系统适合预期用途。</w:t>
            </w:r>
          </w:p>
        </w:tc>
      </w:tr>
      <w:tr>
        <w:trPr/>
        <w:tc>
          <w:p w14:paraId="00100098" w14:textId="00100099">
            <w:r>
              <w:t xml:space="preserve">数据完整性</w:t>
            </w:r>
          </w:p>
        </w:tc>
        <w:tc>
          <w:p w14:paraId="0010009A" w14:textId="0010009B">
            <w:r>
              <w:t xml:space="preserve">电子签名、审计追踪、备份恢复、接口对账和权限复核有生产或批准环境证据。</w:t>
            </w:r>
          </w:p>
        </w:tc>
        <w:tc>
          <w:p w14:paraId="0010009C" w14:textId="0010009D">
            <w:r>
              <w:t xml:space="preserve">IT、系统所有者、QA</w:t>
            </w:r>
          </w:p>
        </w:tc>
        <w:tc>
          <w:p w14:paraId="0010009E" w14:textId="0010009F">
            <w:r>
              <w:t xml:space="preserve">电子记录可信性不足。</w:t>
            </w:r>
          </w:p>
        </w:tc>
      </w:tr>
      <w:tr>
        <w:trPr/>
        <w:tc>
          <w:tcPr>
            <w:shd w:val="clear" w:fill="F3F6FA"/>
          </w:tcPr>
          <w:p w14:paraId="001000A0" w14:textId="001000A1">
            <w:r>
              <w:t xml:space="preserve">运营证据</w:t>
            </w:r>
          </w:p>
        </w:tc>
        <w:tc>
          <w:tcPr>
            <w:shd w:val="clear" w:fill="F3F6FA"/>
          </w:tcPr>
          <w:p w14:paraId="001000A2" w14:textId="001000A3">
            <w:r>
              <w:t xml:space="preserve">培训、供应商评估、SOP、生效版本、变更控制和周期回顾纳入 QMS。</w:t>
            </w:r>
          </w:p>
        </w:tc>
        <w:tc>
          <w:tcPr>
            <w:shd w:val="clear" w:fill="F3F6FA"/>
          </w:tcPr>
          <w:p w14:paraId="001000A4" w14:textId="001000A5">
            <w:r>
              <w:t xml:space="preserve">QA、培训、采购、文件管理员</w:t>
            </w:r>
          </w:p>
        </w:tc>
        <w:tc>
          <w:tcPr>
            <w:shd w:val="clear" w:fill="F3F6FA"/>
          </w:tcPr>
          <w:p w14:paraId="001000A6" w14:textId="001000A7">
            <w:r>
              <w:t xml:space="preserve">持续合规无法证明。</w:t>
            </w:r>
          </w:p>
        </w:tc>
      </w:tr>
    </w:tbl>
    <w:p w14:paraId="00100101" w14:textId="00100102"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四、法规依据与审查重点</w:t>
      </w:r>
    </w:p>
    <w:p w14:paraId="00100103" w14:textId="00100104">
      <w:pPr>
        <w:pStyle w:val="Normal"/>
        <w:spacing w:after="120" w:line="300" w:lineRule="auto"/>
        <w:ind w:firstLineChars="200"/>
      </w:pPr>
      <w:r>
        <w:rPr>
          <w:rFonts w:ascii="Microsoft YaHei" w:hAnsi="Microsoft YaHei" w:eastAsia="Microsoft YaHei"/>
          <w:sz w:val="22"/>
        </w:rPr>
        <w:t xml:space="preserve">本包按药品 GMP、药品记录与数据管理、计算机化系统和数据完整性检查思路组织。审核关注点通常不是文件数量，而是预定用途、风险评估、需求追溯、执行证据、偏差关闭、权限审计、备份恢复、培训和质量体系批准是否形成闭环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法规依据与审查重点"/>
      </w:tblPr>
      <w:tblGrid>
        <w:gridCol w:w="3174"/>
        <w:gridCol w:w="3174"/>
        <w:gridCol w:w="3174"/>
      </w:tblGrid>
      <w:tr>
        <w:trPr>
          <w:tblHeader/>
        </w:trPr>
        <w:tc>
          <w:tcPr>
            <w:shd w:val="clear" w:fill="1F4E79"/>
          </w:tcPr>
          <w:p w14:paraId="00100105" w14:textId="00100123">
            <w:r>
              <w:rPr>
                <w:b/>
                <w:color w:val="FFFFFF"/>
              </w:rPr>
              <w:t xml:space="preserve">依据</w:t>
            </w:r>
          </w:p>
        </w:tc>
        <w:tc>
          <w:tcPr>
            <w:shd w:val="clear" w:fill="1F4E79"/>
          </w:tcPr>
          <w:p w14:paraId="00100107" w14:textId="00100124">
            <w:r>
              <w:rPr>
                <w:b/>
                <w:color w:val="FFFFFF"/>
              </w:rPr>
              <w:t xml:space="preserve">审查重点</w:t>
            </w:r>
          </w:p>
        </w:tc>
        <w:tc>
          <w:tcPr>
            <w:shd w:val="clear" w:fill="1F4E79"/>
          </w:tcPr>
          <w:p w14:paraId="00100109" w14:textId="00100125">
            <w:r>
              <w:rPr>
                <w:b/>
                <w:color w:val="FFFFFF"/>
              </w:rPr>
              <w:t xml:space="preserve">本包对应</w:t>
            </w:r>
          </w:p>
        </w:tc>
      </w:tr>
      <w:tr>
        <w:trPr/>
        <w:tc>
          <w:p w14:paraId="0010010B" w14:textId="0010010C">
            <w:r>
              <w:t xml:space="preserve">药品 GMP 质量体系、确认与验证、记录管理要求</w:t>
            </w:r>
          </w:p>
        </w:tc>
        <w:tc>
          <w:p w14:paraId="0010010D" w14:textId="0010010E">
            <w:r>
              <w:t xml:space="preserve">系统和工艺应经过确认或验证，记录应真实、及时、可追溯，偏差应调查。</w:t>
            </w:r>
          </w:p>
        </w:tc>
        <w:tc>
          <w:p w14:paraId="0010010F" w14:textId="00100110">
            <w:r>
              <w:t xml:space="preserve">验证总计划、IQ/OQ/PQ、VSR、偏差 CAPA。</w:t>
            </w:r>
          </w:p>
        </w:tc>
      </w:tr>
      <w:tr>
        <w:trPr/>
        <w:tc>
          <w:p w14:paraId="00100111" w14:textId="00100112">
            <w:r>
              <w:t xml:space="preserve">药品记录与数据管理要求</w:t>
            </w:r>
          </w:p>
        </w:tc>
        <w:tc>
          <w:p w14:paraId="00100113" w14:textId="00100114">
            <w:r>
              <w:t xml:space="preserve">计算机化系统应满足 GxP，审计追踪、权限、配置、日期时间和数据可靠性控制应有效。</w:t>
            </w:r>
          </w:p>
        </w:tc>
        <w:tc>
          <w:p w14:paraId="00100115" w14:textId="00100116">
            <w:r>
              <w:t xml:space="preserve">风险评估、FS、OQ、RTM、QMS 培训。</w:t>
            </w:r>
          </w:p>
        </w:tc>
      </w:tr>
      <w:tr>
        <w:trPr/>
        <w:tc>
          <w:p w14:paraId="00100117" w14:textId="00100118">
            <w:r>
              <w:t xml:space="preserve">电子化记录和追溯系统检查思路</w:t>
            </w:r>
          </w:p>
        </w:tc>
        <w:tc>
          <w:p w14:paraId="00100119" w14:textId="0010011A">
            <w:r>
              <w:t xml:space="preserve">电子记录、审计追踪、电子签名、备份恢复、权限和变更管理应可证明。</w:t>
            </w:r>
          </w:p>
        </w:tc>
        <w:tc>
          <w:p w14:paraId="0010011B" w14:textId="0010011C">
            <w:r>
              <w:t xml:space="preserve">系统清单、供应商接口、持续验证和提交前清单。</w:t>
            </w:r>
          </w:p>
        </w:tc>
      </w:tr>
      <w:tr>
        <w:trPr/>
        <w:tc>
          <w:p w14:paraId="0010011D" w14:textId="0010011E">
            <w:r>
              <w:t xml:space="preserve">企业 QMS 文件控制</w:t>
            </w:r>
          </w:p>
        </w:tc>
        <w:tc>
          <w:p w14:paraId="0010011F" w14:textId="00100120">
            <w:r>
              <w:t xml:space="preserve">SOP、培训、供应商、变更、偏差和审批责任必须落实到人员和记录。</w:t>
            </w:r>
          </w:p>
        </w:tc>
        <w:tc>
          <w:p w14:paraId="00100121" w14:textId="00100122">
            <w:r>
              <w:t xml:space="preserve">QMS 培训审批分册和批准页。</w:t>
            </w:r>
          </w:p>
        </w:tc>
      </w:tr>
    </w:tbl>
    <w:p w14:paraId="001000AC" w14:textId="001000AD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AE" w14:textId="001000AF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B0" w14:textId="001000F8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B2" w14:textId="001000F9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B4" w14:textId="001000FA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B6" w14:textId="001000FB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B8" w14:textId="001000FC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BA" w14:textId="001000FD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BC" w14:textId="001000BD">
            <w:r>
              <w:t xml:space="preserve">编写</w:t>
            </w:r>
          </w:p>
        </w:tc>
        <w:tc>
          <w:p w14:paraId="001000BE" w14:textId="001000BF"/>
        </w:tc>
        <w:tc>
          <w:p w14:paraId="001000C0" w14:textId="001000C1"/>
        </w:tc>
        <w:tc>
          <w:p w14:paraId="001000C2" w14:textId="001000C3"/>
        </w:tc>
        <w:tc>
          <w:p w14:paraId="001000C4" w14:textId="001000C5"/>
        </w:tc>
        <w:tc>
          <w:p w14:paraId="001000C6" w14:textId="001000C7"/>
        </w:tc>
      </w:tr>
      <w:tr>
        <w:trPr/>
        <w:tc>
          <w:tcPr>
            <w:shd w:val="clear" w:fill="F3F6FA"/>
          </w:tcPr>
          <w:p w14:paraId="001000C8" w14:textId="001000C9">
            <w:r>
              <w:t xml:space="preserve">业务审核</w:t>
            </w:r>
          </w:p>
        </w:tc>
        <w:tc>
          <w:tcPr>
            <w:shd w:val="clear" w:fill="F3F6FA"/>
          </w:tcPr>
          <w:p w14:paraId="001000CA" w14:textId="001000CB"/>
        </w:tc>
        <w:tc>
          <w:tcPr>
            <w:shd w:val="clear" w:fill="F3F6FA"/>
          </w:tcPr>
          <w:p w14:paraId="001000CC" w14:textId="001000CD"/>
        </w:tc>
        <w:tc>
          <w:tcPr>
            <w:shd w:val="clear" w:fill="F3F6FA"/>
          </w:tcPr>
          <w:p w14:paraId="001000CE" w14:textId="001000CF"/>
        </w:tc>
        <w:tc>
          <w:tcPr>
            <w:shd w:val="clear" w:fill="F3F6FA"/>
          </w:tcPr>
          <w:p w14:paraId="001000D0" w14:textId="001000D1"/>
        </w:tc>
        <w:tc>
          <w:tcPr>
            <w:shd w:val="clear" w:fill="F3F6FA"/>
          </w:tcPr>
          <w:p w14:paraId="001000D2" w14:textId="001000D3"/>
        </w:tc>
      </w:tr>
      <w:tr>
        <w:trPr/>
        <w:tc>
          <w:p w14:paraId="001000D4" w14:textId="001000D5">
            <w:r>
              <w:t xml:space="preserve">IT 审核</w:t>
            </w:r>
          </w:p>
        </w:tc>
        <w:tc>
          <w:p w14:paraId="001000D6" w14:textId="001000D7"/>
        </w:tc>
        <w:tc>
          <w:p w14:paraId="001000D8" w14:textId="001000D9"/>
        </w:tc>
        <w:tc>
          <w:p w14:paraId="001000DA" w14:textId="001000DB"/>
        </w:tc>
        <w:tc>
          <w:p w14:paraId="001000DC" w14:textId="001000DD"/>
        </w:tc>
        <w:tc>
          <w:p w14:paraId="001000DE" w14:textId="001000DF"/>
        </w:tc>
      </w:tr>
      <w:tr>
        <w:trPr/>
        <w:tc>
          <w:tcPr>
            <w:shd w:val="clear" w:fill="F3F6FA"/>
          </w:tcPr>
          <w:p w14:paraId="001000E0" w14:textId="001000E1">
            <w:r>
              <w:t xml:space="preserve">QA 审核</w:t>
            </w:r>
          </w:p>
        </w:tc>
        <w:tc>
          <w:tcPr>
            <w:shd w:val="clear" w:fill="F3F6FA"/>
          </w:tcPr>
          <w:p w14:paraId="001000E2" w14:textId="001000E3"/>
        </w:tc>
        <w:tc>
          <w:tcPr>
            <w:shd w:val="clear" w:fill="F3F6FA"/>
          </w:tcPr>
          <w:p w14:paraId="001000E4" w14:textId="001000E5"/>
        </w:tc>
        <w:tc>
          <w:tcPr>
            <w:shd w:val="clear" w:fill="F3F6FA"/>
          </w:tcPr>
          <w:p w14:paraId="001000E6" w14:textId="001000E7"/>
        </w:tc>
        <w:tc>
          <w:tcPr>
            <w:shd w:val="clear" w:fill="F3F6FA"/>
          </w:tcPr>
          <w:p w14:paraId="001000E8" w14:textId="001000E9"/>
        </w:tc>
        <w:tc>
          <w:tcPr>
            <w:shd w:val="clear" w:fill="F3F6FA"/>
          </w:tcPr>
          <w:p w14:paraId="001000EA" w14:textId="001000EB"/>
        </w:tc>
      </w:tr>
      <w:tr>
        <w:trPr/>
        <w:tc>
          <w:p w14:paraId="001000EC" w14:textId="001000ED">
            <w:r>
              <w:t xml:space="preserve">批准</w:t>
            </w:r>
          </w:p>
        </w:tc>
        <w:tc>
          <w:p w14:paraId="001000EE" w14:textId="001000EF"/>
        </w:tc>
        <w:tc>
          <w:p w14:paraId="001000F0" w14:textId="001000F1"/>
        </w:tc>
        <w:tc>
          <w:p w14:paraId="001000F2" w14:textId="001000F3"/>
        </w:tc>
        <w:tc>
          <w:p w14:paraId="001000F4" w14:textId="001000F5"/>
        </w:tc>
        <w:tc>
          <w:p w14:paraId="001000F6" w14:textId="001000F7"/>
        </w:tc>
      </w:tr>
    </w:tbl>
    <w:sectPr>
      <w:footerReference w:type="default" r:id="Rf5bde04b676a45a0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FE" w14:textId="00100100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8347f99857c4fc6" /><Relationship Type="http://schemas.openxmlformats.org/officeDocument/2006/relationships/styles" Target="/word/styles.xml" Id="Rc8782c4f2c2245c7" /><Relationship Type="http://schemas.openxmlformats.org/officeDocument/2006/relationships/theme" Target="/word/theme/theme1.xml" Id="Ra8bb5588d0474a1c" /><Relationship Type="http://schemas.openxmlformats.org/officeDocument/2006/relationships/numbering" Target="/word/numbering.xml" Id="Rbf8c003eeb8043b3" /><Relationship Type="http://schemas.openxmlformats.org/officeDocument/2006/relationships/footer" Target="/word/footer1.xml" Id="Rf5bde04b676a45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2026-09-08T16:30:48.0000000Z</dcterms:created>
  <lastModifiedBy>OfficeCLI</lastModifiedBy>
  <dcterms:modified xsi:type="dcterms:W3CDTF">2026-09-08T16:30:48.0000000Z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送审目录与审查导读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2026-09-08T17:00:08Z</vt:lpwstr>
  </op:property>
</op:Properties>
</file>