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8bd53e5dc7a488d" /><Relationship Type="http://schemas.openxmlformats.org/package/2006/relationships/metadata/core-properties" Target="/docProps/core.xml" Id="R051252e2d3ab41a8" /><Relationship Type="http://schemas.openxmlformats.org/officeDocument/2006/relationships/extended-properties" Target="/docProps/app.xml" Id="Rb71f183443954e28" /><Relationship Type="http://schemas.openxmlformats.org/officeDocument/2006/relationships/custom-properties" Target="/docProps/custom.xml" Id="Rd06981fa1e2a45c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before="360" w:after="120" w:line="300" w:lineRule="auto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 xml:space="preserve">CSV 验证总计划</w:t>
      </w:r>
    </w:p>
    <w:p w14:paraId="00100002" w14:textId="00100003">
      <w:pPr>
        <w:pStyle w:val="Normal"/>
        <w:spacing w:before="0" w:after="280" w:line="300" w:lineRule="auto"/>
        <w:jc w:val="center"/>
      </w:pPr>
      <w:r>
        <w:rPr>
          <w:rFonts w:ascii="Microsoft YaHei" w:hAnsi="Microsoft YaHei" w:eastAsia="Microsoft YaHei"/>
          <w:color w:val="333333"/>
          <w:sz w:val="26"/>
        </w:rPr>
        <w:t xml:space="preserve">IntRuoyi 计算机化系统验证正式送审分册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文件控制"/>
      </w:tblPr>
      <w:tblGrid>
        <w:gridCol w:w="4153"/>
        <w:gridCol w:w="4153"/>
      </w:tblGrid>
      <w:tr>
        <w:trPr>
          <w:tblHeader/>
        </w:trPr>
        <w:tc>
          <w:tcPr>
            <w:shd w:val="clear" w:fill="1F4E79"/>
          </w:tcPr>
          <w:p w14:paraId="00100004" w14:textId="00100020"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fill="1F4E79"/>
          </w:tcPr>
          <w:p w14:paraId="00100006" w14:textId="00100021">
            <w:r>
              <w:rPr>
                <w:b/>
                <w:color w:val="FFFFFF"/>
              </w:rPr>
              <w:t xml:space="preserve">内容</w:t>
            </w:r>
          </w:p>
        </w:tc>
      </w:tr>
      <w:tr>
        <w:trPr/>
        <w:tc>
          <w:p w14:paraId="00100008" w14:textId="00100009">
            <w:r>
              <w:t xml:space="preserve">系统名称</w:t>
            </w:r>
          </w:p>
        </w:tc>
        <w:tc>
          <w:p w14:paraId="0010000A" w14:textId="0010000B">
            <w:r>
              <w:t xml:space="preserve">IntRuoyi GxP 生产质量与文控系统</w:t>
            </w:r>
          </w:p>
        </w:tc>
      </w:tr>
      <w:tr>
        <w:trPr/>
        <w:tc>
          <w:tcPr>
            <w:shd w:val="clear" w:fill="F3F6FA"/>
          </w:tcPr>
          <w:p w14:paraId="0010000C" w14:textId="0010000D">
            <w:r>
              <w:t xml:space="preserve">文件编号</w:t>
            </w:r>
          </w:p>
        </w:tc>
        <w:tc>
          <w:tcPr>
            <w:shd w:val="clear" w:fill="F3F6FA"/>
          </w:tcPr>
          <w:p w14:paraId="0010000E" w14:textId="0010000F">
            <w:r>
              <w:t xml:space="preserve">CSV INT 二零二六零九零九 零一</w:t>
            </w:r>
          </w:p>
        </w:tc>
      </w:tr>
      <w:tr>
        <w:trPr/>
        <w:tc>
          <w:p w14:paraId="00100010" w14:textId="00100011">
            <w:r>
              <w:t xml:space="preserve">版本</w:t>
            </w:r>
          </w:p>
        </w:tc>
        <w:tc>
          <w:p w14:paraId="00100012" w14:textId="00100013">
            <w:r>
              <w:t xml:space="preserve">V1.0 待企业签章</w:t>
            </w:r>
          </w:p>
        </w:tc>
      </w:tr>
      <w:tr>
        <w:trPr/>
        <w:tc>
          <w:tcPr>
            <w:shd w:val="clear" w:fill="F3F6FA"/>
          </w:tcPr>
          <w:p w14:paraId="00100014" w14:textId="00100015">
            <w:r>
              <w:t xml:space="preserve">文件状态</w:t>
            </w:r>
          </w:p>
        </w:tc>
        <w:tc>
          <w:tcPr>
            <w:shd w:val="clear" w:fill="F3F6FA"/>
          </w:tcPr>
          <w:p w14:paraId="00100016" w14:textId="00100017">
            <w:r>
              <w:t xml:space="preserve">正式送审流转版。真实签字和执行证据由企业补齐后对外提交。</w:t>
            </w:r>
          </w:p>
        </w:tc>
      </w:tr>
      <w:tr>
        <w:trPr/>
        <w:tc>
          <w:p w14:paraId="00100018" w14:textId="00100019">
            <w:r>
              <w:t xml:space="preserve">文件责任</w:t>
            </w:r>
          </w:p>
        </w:tc>
        <w:tc>
          <w:p w14:paraId="0010001A" w14:textId="0010001B">
            <w:r>
              <w:t xml:space="preserve">QA 负责人、验证负责人</w:t>
            </w:r>
          </w:p>
        </w:tc>
      </w:tr>
      <w:tr>
        <w:trPr/>
        <w:tc>
          <w:tcPr>
            <w:shd w:val="clear" w:fill="F3F6FA"/>
          </w:tcPr>
          <w:p w14:paraId="0010001C" w14:textId="0010001D">
            <w:r>
              <w:t xml:space="preserve">编制日期</w:t>
            </w:r>
          </w:p>
        </w:tc>
        <w:tc>
          <w:tcPr>
            <w:shd w:val="clear" w:fill="F3F6FA"/>
          </w:tcPr>
          <w:p w14:paraId="0010001E" w14:textId="0010001F">
            <w:r>
              <w:t xml:space="preserve">二零二六年九月九日</w:t>
            </w:r>
          </w:p>
        </w:tc>
      </w:tr>
    </w:tbl>
    <w:p w14:paraId="00100022" w14:textId="00100023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一、目的</w:t>
      </w:r>
    </w:p>
    <w:p w14:paraId="00100024" w14:textId="00100025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建立 IntRuoyi GxP 范围的计算机化系统验证总计划，明确验证范围、风险基础方法、生命周期 V 模型、角色职责、测试策略、偏差处理、首次使用前确认和变更再验证门禁。</w:t>
      </w:r>
    </w:p>
    <w:p w14:paraId="00100026" w14:textId="00100027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二、范围</w:t>
      </w:r>
    </w:p>
    <w:p w14:paraId="00100028" w14:textId="00100029">
      <w:pPr>
        <w:pStyle w:val="Normal"/>
        <w:numPr>
          <w:ilvl w:val="0"/>
          <w:numId w:val="1"/>
        </w:numPr>
        <w:spacing w:after="80" w:line="288" w:lineRule="auto"/>
      </w:pPr>
      <w:r>
        <w:rPr>
          <w:rFonts w:ascii="Microsoft YaHei" w:hAnsi="Microsoft YaHei" w:eastAsia="Microsoft YaHei"/>
          <w:sz w:val="22"/>
        </w:rPr>
        <w:t xml:space="preserve">范围内：MES 与 eDHR 批记录、DCC 文控、注册证、电子签名、GxP 审计追踪、PQC、放行、ERP 接口、BPM、对象存储、备份恢复、表单中心和验证工具。</w:t>
      </w:r>
    </w:p>
    <w:p w14:paraId="0010002A" w14:textId="0010002B">
      <w:pPr>
        <w:pStyle w:val="Normal"/>
        <w:numPr>
          <w:ilvl w:val="0"/>
          <w:numId w:val="1"/>
        </w:numPr>
        <w:spacing w:after="80" w:line="288" w:lineRule="auto"/>
      </w:pPr>
      <w:r>
        <w:rPr>
          <w:rFonts w:ascii="Microsoft YaHei" w:hAnsi="Microsoft YaHei" w:eastAsia="Microsoft YaHei"/>
          <w:sz w:val="22"/>
        </w:rPr>
        <w:t xml:space="preserve">范围外：外部 ERP 或基础平台自身验证、非 GxP 展示功能、未经本计划批准的生产环境变更。</w:t>
      </w:r>
    </w:p>
    <w:p w14:paraId="0010002C" w14:textId="0010002D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三、验证策略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验证策略"/>
      </w:tblPr>
      <w:tblGrid>
        <w:gridCol w:w="2768"/>
        <w:gridCol w:w="2768"/>
        <w:gridCol w:w="2768"/>
      </w:tblGrid>
      <w:tr>
        <w:trPr>
          <w:tblHeader/>
        </w:trPr>
        <w:tc>
          <w:tcPr>
            <w:shd w:val="clear" w:fill="1F4E79"/>
          </w:tcPr>
          <w:p w14:paraId="0010002E" w14:textId="00100046">
            <w:r>
              <w:rPr>
                <w:b/>
                <w:color w:val="FFFFFF"/>
              </w:rPr>
              <w:t xml:space="preserve">风险等级</w:t>
            </w:r>
          </w:p>
        </w:tc>
        <w:tc>
          <w:tcPr>
            <w:shd w:val="clear" w:fill="1F4E79"/>
          </w:tcPr>
          <w:p w14:paraId="00100030" w14:textId="00100047">
            <w:r>
              <w:rPr>
                <w:b/>
                <w:color w:val="FFFFFF"/>
              </w:rPr>
              <w:t xml:space="preserve">判定条件</w:t>
            </w:r>
          </w:p>
        </w:tc>
        <w:tc>
          <w:tcPr>
            <w:shd w:val="clear" w:fill="1F4E79"/>
          </w:tcPr>
          <w:p w14:paraId="00100032" w14:textId="00100048">
            <w:r>
              <w:rPr>
                <w:b/>
                <w:color w:val="FFFFFF"/>
              </w:rPr>
              <w:t xml:space="preserve">最低验证深度</w:t>
            </w:r>
          </w:p>
        </w:tc>
      </w:tr>
      <w:tr>
        <w:trPr/>
        <w:tc>
          <w:p w14:paraId="00100034" w14:textId="00100035">
            <w:r>
              <w:t xml:space="preserve">高</w:t>
            </w:r>
          </w:p>
        </w:tc>
        <w:tc>
          <w:p w14:paraId="00100036" w14:textId="00100037">
            <w:r>
              <w:t xml:space="preserve">影响产品质量、放行、电子签名、审计追踪、数据完整性或记录可恢复性。</w:t>
            </w:r>
          </w:p>
        </w:tc>
        <w:tc>
          <w:p w14:paraId="00100038" w14:textId="00100039">
            <w:r>
              <w:t xml:space="preserve">URS、FS、风险评估、IQ、OQ、PQ、RTM、偏差关闭、QA 批准。</w:t>
            </w:r>
          </w:p>
        </w:tc>
      </w:tr>
      <w:tr>
        <w:trPr/>
        <w:tc>
          <w:tcPr>
            <w:shd w:val="clear" w:fill="F3F6FA"/>
          </w:tcPr>
          <w:p w14:paraId="0010003A" w14:textId="0010003B">
            <w:r>
              <w:t xml:space="preserve">中</w:t>
            </w:r>
          </w:p>
        </w:tc>
        <w:tc>
          <w:tcPr>
            <w:shd w:val="clear" w:fill="F3F6FA"/>
          </w:tcPr>
          <w:p w14:paraId="0010003C" w14:textId="0010003D">
            <w:r>
              <w:t xml:space="preserve">影响流程效率、查询展示或辅助判断，且有人工复核或上游控制。</w:t>
            </w:r>
          </w:p>
        </w:tc>
        <w:tc>
          <w:tcPr>
            <w:shd w:val="clear" w:fill="F3F6FA"/>
          </w:tcPr>
          <w:p w14:paraId="0010003E" w14:textId="0010003F">
            <w:r>
              <w:t xml:space="preserve">URS、设计评审、OQ、必要 PQ、RTM。</w:t>
            </w:r>
          </w:p>
        </w:tc>
      </w:tr>
      <w:tr>
        <w:trPr/>
        <w:tc>
          <w:p w14:paraId="00100040" w14:textId="00100041">
            <w:r>
              <w:t xml:space="preserve">低</w:t>
            </w:r>
          </w:p>
        </w:tc>
        <w:tc>
          <w:p w14:paraId="00100042" w14:textId="00100043">
            <w:r>
              <w:t xml:space="preserve">不影响 GxP 记录、质量结论或受控数据。</w:t>
            </w:r>
          </w:p>
        </w:tc>
        <w:tc>
          <w:p w14:paraId="00100044" w14:textId="00100045">
            <w:r>
              <w:t xml:space="preserve">设计评审、受控变更、目标测试。</w:t>
            </w:r>
          </w:p>
        </w:tc>
      </w:tr>
    </w:tbl>
    <w:p w14:paraId="00100049" w14:textId="0010004A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四、首次使用前确认</w:t>
      </w:r>
    </w:p>
    <w:p w14:paraId="0010004B" w14:textId="0010004C">
      <w:pPr>
        <w:pStyle w:val="Normal"/>
        <w:numPr>
          <w:ilvl w:val="0"/>
          <w:numId w:val="2"/>
        </w:numPr>
        <w:spacing w:after="80" w:line="288" w:lineRule="auto"/>
      </w:pPr>
      <w:r>
        <w:rPr>
          <w:rFonts w:ascii="Microsoft YaHei" w:hAnsi="Microsoft YaHei" w:eastAsia="Microsoft YaHei"/>
          <w:sz w:val="22"/>
        </w:rPr>
        <w:t xml:space="preserve">所有高风险需求应追溯到设计、测试脚本、执行结果和偏差关闭。</w:t>
      </w:r>
    </w:p>
    <w:p w14:paraId="0010004D" w14:textId="0010004E">
      <w:pPr>
        <w:pStyle w:val="Normal"/>
        <w:numPr>
          <w:ilvl w:val="0"/>
          <w:numId w:val="2"/>
        </w:numPr>
        <w:spacing w:after="80" w:line="288" w:lineRule="auto"/>
      </w:pPr>
      <w:r>
        <w:rPr>
          <w:rFonts w:ascii="Microsoft YaHei" w:hAnsi="Microsoft YaHei" w:eastAsia="Microsoft YaHei"/>
          <w:sz w:val="22"/>
        </w:rPr>
        <w:t xml:space="preserve">生产环境 IQ、权限、备份、时间源、审计追踪、电子签名和接口应完成确认。</w:t>
      </w:r>
    </w:p>
    <w:p w14:paraId="0010004F" w14:textId="00100050">
      <w:pPr>
        <w:pStyle w:val="Normal"/>
        <w:numPr>
          <w:ilvl w:val="0"/>
          <w:numId w:val="2"/>
        </w:numPr>
        <w:spacing w:after="80" w:line="288" w:lineRule="auto"/>
      </w:pPr>
      <w:r>
        <w:rPr>
          <w:rFonts w:ascii="Microsoft YaHei" w:hAnsi="Microsoft YaHei" w:eastAsia="Microsoft YaHei"/>
          <w:sz w:val="22"/>
        </w:rPr>
        <w:t xml:space="preserve">QA 未批准验证总结报告前，不得将系统作为正式 GxP 记录系统放行。</w:t>
      </w:r>
    </w:p>
    <w:p w14:paraId="00100051" w14:textId="00100052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批准页</w:t>
      </w:r>
    </w:p>
    <w:p w14:paraId="00100053" w14:textId="00100054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本页用于企业正式签署。签署前应确认本文件所引用的原始记录、测试记录、偏差关闭、培训记录和供应商资料均已归档。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批准页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shd w:val="clear" w:fill="1F4E79"/>
          </w:tcPr>
          <w:p w14:paraId="00100055" w14:textId="0010009D">
            <w:r>
              <w:rPr>
                <w:b/>
                <w:color w:val="FFFFFF"/>
              </w:rPr>
              <w:t xml:space="preserve">职责</w:t>
            </w:r>
          </w:p>
        </w:tc>
        <w:tc>
          <w:tcPr>
            <w:shd w:val="clear" w:fill="1F4E79"/>
          </w:tcPr>
          <w:p w14:paraId="00100057" w14:textId="0010009E">
            <w:r>
              <w:rPr>
                <w:b/>
                <w:color w:val="FFFFFF"/>
              </w:rPr>
              <w:t xml:space="preserve">姓名</w:t>
            </w:r>
          </w:p>
        </w:tc>
        <w:tc>
          <w:tcPr>
            <w:shd w:val="clear" w:fill="1F4E79"/>
          </w:tcPr>
          <w:p w14:paraId="00100059" w14:textId="0010009F">
            <w:r>
              <w:rPr>
                <w:b/>
                <w:color w:val="FFFFFF"/>
              </w:rPr>
              <w:t xml:space="preserve">部门</w:t>
            </w:r>
          </w:p>
        </w:tc>
        <w:tc>
          <w:tcPr>
            <w:shd w:val="clear" w:fill="1F4E79"/>
          </w:tcPr>
          <w:p w14:paraId="0010005B" w14:textId="001000A0">
            <w:r>
              <w:rPr>
                <w:b/>
                <w:color w:val="FFFFFF"/>
              </w:rPr>
              <w:t xml:space="preserve">审批意见</w:t>
            </w:r>
          </w:p>
        </w:tc>
        <w:tc>
          <w:tcPr>
            <w:shd w:val="clear" w:fill="1F4E79"/>
          </w:tcPr>
          <w:p w14:paraId="0010005D" w14:textId="001000A1">
            <w:r>
              <w:rPr>
                <w:b/>
                <w:color w:val="FFFFFF"/>
              </w:rPr>
              <w:t xml:space="preserve">签字</w:t>
            </w:r>
          </w:p>
        </w:tc>
        <w:tc>
          <w:tcPr>
            <w:shd w:val="clear" w:fill="1F4E79"/>
          </w:tcPr>
          <w:p w14:paraId="0010005F" w14:textId="001000A2">
            <w:r>
              <w:rPr>
                <w:b/>
                <w:color w:val="FFFFFF"/>
              </w:rPr>
              <w:t xml:space="preserve">日期</w:t>
            </w:r>
          </w:p>
        </w:tc>
      </w:tr>
      <w:tr>
        <w:trPr/>
        <w:tc>
          <w:p w14:paraId="00100061" w14:textId="00100062">
            <w:r>
              <w:t xml:space="preserve">编写</w:t>
            </w:r>
          </w:p>
        </w:tc>
        <w:tc>
          <w:p w14:paraId="00100063" w14:textId="00100064"/>
        </w:tc>
        <w:tc>
          <w:p w14:paraId="00100065" w14:textId="00100066"/>
        </w:tc>
        <w:tc>
          <w:p w14:paraId="00100067" w14:textId="00100068"/>
        </w:tc>
        <w:tc>
          <w:p w14:paraId="00100069" w14:textId="0010006A"/>
        </w:tc>
        <w:tc>
          <w:p w14:paraId="0010006B" w14:textId="0010006C"/>
        </w:tc>
      </w:tr>
      <w:tr>
        <w:trPr/>
        <w:tc>
          <w:tcPr>
            <w:shd w:val="clear" w:fill="F3F6FA"/>
          </w:tcPr>
          <w:p w14:paraId="0010006D" w14:textId="0010006E">
            <w:r>
              <w:t xml:space="preserve">业务审核</w:t>
            </w:r>
          </w:p>
        </w:tc>
        <w:tc>
          <w:tcPr>
            <w:shd w:val="clear" w:fill="F3F6FA"/>
          </w:tcPr>
          <w:p w14:paraId="0010006F" w14:textId="00100070"/>
        </w:tc>
        <w:tc>
          <w:tcPr>
            <w:shd w:val="clear" w:fill="F3F6FA"/>
          </w:tcPr>
          <w:p w14:paraId="00100071" w14:textId="00100072"/>
        </w:tc>
        <w:tc>
          <w:tcPr>
            <w:shd w:val="clear" w:fill="F3F6FA"/>
          </w:tcPr>
          <w:p w14:paraId="00100073" w14:textId="00100074"/>
        </w:tc>
        <w:tc>
          <w:tcPr>
            <w:shd w:val="clear" w:fill="F3F6FA"/>
          </w:tcPr>
          <w:p w14:paraId="00100075" w14:textId="00100076"/>
        </w:tc>
        <w:tc>
          <w:tcPr>
            <w:shd w:val="clear" w:fill="F3F6FA"/>
          </w:tcPr>
          <w:p w14:paraId="00100077" w14:textId="00100078"/>
        </w:tc>
      </w:tr>
      <w:tr>
        <w:trPr/>
        <w:tc>
          <w:p w14:paraId="00100079" w14:textId="0010007A">
            <w:r>
              <w:t xml:space="preserve">IT 审核</w:t>
            </w:r>
          </w:p>
        </w:tc>
        <w:tc>
          <w:p w14:paraId="0010007B" w14:textId="0010007C"/>
        </w:tc>
        <w:tc>
          <w:p w14:paraId="0010007D" w14:textId="0010007E"/>
        </w:tc>
        <w:tc>
          <w:p w14:paraId="0010007F" w14:textId="00100080"/>
        </w:tc>
        <w:tc>
          <w:p w14:paraId="00100081" w14:textId="00100082"/>
        </w:tc>
        <w:tc>
          <w:p w14:paraId="00100083" w14:textId="00100084"/>
        </w:tc>
      </w:tr>
      <w:tr>
        <w:trPr/>
        <w:tc>
          <w:tcPr>
            <w:shd w:val="clear" w:fill="F3F6FA"/>
          </w:tcPr>
          <w:p w14:paraId="00100085" w14:textId="00100086">
            <w:r>
              <w:t xml:space="preserve">QA 审核</w:t>
            </w:r>
          </w:p>
        </w:tc>
        <w:tc>
          <w:tcPr>
            <w:shd w:val="clear" w:fill="F3F6FA"/>
          </w:tcPr>
          <w:p w14:paraId="00100087" w14:textId="00100088"/>
        </w:tc>
        <w:tc>
          <w:tcPr>
            <w:shd w:val="clear" w:fill="F3F6FA"/>
          </w:tcPr>
          <w:p w14:paraId="00100089" w14:textId="0010008A"/>
        </w:tc>
        <w:tc>
          <w:tcPr>
            <w:shd w:val="clear" w:fill="F3F6FA"/>
          </w:tcPr>
          <w:p w14:paraId="0010008B" w14:textId="0010008C"/>
        </w:tc>
        <w:tc>
          <w:tcPr>
            <w:shd w:val="clear" w:fill="F3F6FA"/>
          </w:tcPr>
          <w:p w14:paraId="0010008D" w14:textId="0010008E"/>
        </w:tc>
        <w:tc>
          <w:tcPr>
            <w:shd w:val="clear" w:fill="F3F6FA"/>
          </w:tcPr>
          <w:p w14:paraId="0010008F" w14:textId="00100090"/>
        </w:tc>
      </w:tr>
      <w:tr>
        <w:trPr/>
        <w:tc>
          <w:p w14:paraId="00100091" w14:textId="00100092">
            <w:r>
              <w:t xml:space="preserve">批准</w:t>
            </w:r>
          </w:p>
        </w:tc>
        <w:tc>
          <w:p w14:paraId="00100093" w14:textId="00100094"/>
        </w:tc>
        <w:tc>
          <w:p w14:paraId="00100095" w14:textId="00100096"/>
        </w:tc>
        <w:tc>
          <w:p w14:paraId="00100097" w14:textId="00100098"/>
        </w:tc>
        <w:tc>
          <w:p w14:paraId="00100099" w14:textId="0010009A"/>
        </w:tc>
        <w:tc>
          <w:p w14:paraId="0010009B" w14:textId="0010009C"/>
        </w:tc>
      </w:tr>
    </w:tbl>
    <w:sectPr>
      <w:footerReference w:type="default" r:id="Rc265530a9e5e4ecd"/>
      <w:pgSz w:w="11906" w:h="16838"/>
      <w:pgMar w:top="1247" w:right="1191" w:bottom="1134" w:left="1191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A3" w14:textId="001000A5">
    <w:pPr>
      <w:jc w:val="center"/>
    </w:pPr>
    <w:r>
      <w:rPr>
        <w:rFonts w:ascii="Microsoft YaHei" w:hAnsi="Microsoft YaHei" w:eastAsia="Microsoft YaHei"/>
        <w:sz w:val="18"/>
      </w:rPr>
      <w:t xml:space="preserve">第 </w:t>
    </w:r>
    <w:r>
      <w:rPr>
        <w:rFonts w:ascii="Microsoft YaHei" w:hAnsi="Microsoft YaHei" w:eastAsia="Microsoft YaHei"/>
        <w:sz w:val="18"/>
      </w:rPr>
      <w:fldChar w:fldCharType="begin"/>
    </w:r>
    <w:r>
      <w:rPr>
        <w:rFonts w:ascii="Microsoft YaHei" w:hAnsi="Microsoft YaHei" w:eastAsia="Microsoft YaHei"/>
        <w:sz w:val="18"/>
      </w:rPr>
      <w:instrText xml:space="preserve"> PAGE </w:instrText>
    </w:r>
    <w:r>
      <w:rPr>
        <w:rFonts w:ascii="Microsoft YaHei" w:hAnsi="Microsoft YaHei" w:eastAsia="Microsoft YaHei"/>
        <w:sz w:val="18"/>
      </w:rPr>
      <w:fldChar w:fldCharType="separate"/>
    </w:r>
    <w:r>
      <w:rPr>
        <w:rFonts w:ascii="Microsoft YaHei" w:hAnsi="Microsoft YaHei" w:eastAsia="Microsoft YaHei"/>
        <w:sz w:val="18"/>
      </w:rPr>
      <w:t xml:space="preserve">1</w:t>
    </w:r>
    <w:r>
      <w:rPr>
        <w:rFonts w:ascii="Microsoft YaHei" w:hAnsi="Microsoft YaHei" w:eastAsia="Microsoft YaHei"/>
        <w:sz w:val="18"/>
      </w:rPr>
      <w:fldChar w:fldCharType="end"/>
    </w:r>
    <w:r>
      <w:rPr/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Microsoft YaHei" w:hAnsi="Microsoft YaHei" w:eastAsia="Microsoft YaHei" w:cs="Microsoft YaHe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79c57e870154583" /><Relationship Type="http://schemas.openxmlformats.org/officeDocument/2006/relationships/styles" Target="/word/styles.xml" Id="Rf215527402454e79" /><Relationship Type="http://schemas.openxmlformats.org/officeDocument/2006/relationships/theme" Target="/word/theme/theme1.xml" Id="Re8c9857a78d4402d" /><Relationship Type="http://schemas.openxmlformats.org/officeDocument/2006/relationships/numbering" Target="/word/numbering.xml" Id="Re9387aa9dca24a07" /><Relationship Type="http://schemas.openxmlformats.org/officeDocument/2006/relationships/footer" Target="/word/footer1.xml" Id="Rc265530a9e5e4ec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Codex</dc:creator>
  <dcterms:created xsi:type="dcterms:W3CDTF">2026-09-08T16:32:07.0000000Z</dcterms:created>
  <lastModifiedBy>OfficeCLI</lastModifiedBy>
  <dcterms:modified xsi:type="dcterms:W3CDTF">2026-09-08T16:32:07.0000000Z</dcterms:modified>
  <dc:description>IntRuoyi 计算机化系统验证正式送审分册，待企业签章和原始证据补齐后提交。</dc:description>
  <dc:subject>IntRuoyi CSV 正式送审分册</dc:subject>
  <keywords>CSV,GxP,计算机化系统验证,送审分册</keywords>
  <dc:title>CSV 验证总计划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2026-09-08T16:32:40Z</vt:lpwstr>
  </op:property>
</op:Properties>
</file>