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363bd1438c495a" /><Relationship Type="http://schemas.openxmlformats.org/package/2006/relationships/metadata/core-properties" Target="/docProps/core.xml" Id="R50379fc6e8aa43a5" /><Relationship Type="http://schemas.openxmlformats.org/officeDocument/2006/relationships/extended-properties" Target="/docProps/app.xml" Id="Rdf107aedae0a44c1" /><Relationship Type="http://schemas.openxmlformats.org/officeDocument/2006/relationships/custom-properties" Target="/docProps/custom.xml" Id="Rfe8848cdfb09473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GAMP 分类与风险评估报告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零三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QA、验证负责人、系统所有者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一、方法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本评估采用严重度、发生概率、可检测性三因素评分。凡影响产品质量、放行、电子签名、审计追踪、数据完整性、记录留存或接口传输的功能，按高风险优先验证。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二、GAMP 分类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GAMP 分类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28" w14:textId="00100048">
            <w:r>
              <w:rPr>
                <w:b/>
                <w:color w:val="FFFFFF"/>
              </w:rPr>
              <w:t xml:space="preserve">类别</w:t>
            </w:r>
          </w:p>
        </w:tc>
        <w:tc>
          <w:tcPr>
            <w:shd w:val="clear" w:fill="1F4E79"/>
          </w:tcPr>
          <w:p w14:paraId="0010002A" w14:textId="00100049">
            <w:r>
              <w:rPr>
                <w:b/>
                <w:color w:val="FFFFFF"/>
              </w:rPr>
              <w:t xml:space="preserve">适用对象</w:t>
            </w:r>
          </w:p>
        </w:tc>
        <w:tc>
          <w:tcPr>
            <w:shd w:val="clear" w:fill="1F4E79"/>
          </w:tcPr>
          <w:p w14:paraId="0010002C" w14:textId="0010004A">
            <w:r>
              <w:rPr>
                <w:b/>
                <w:color w:val="FFFFFF"/>
              </w:rPr>
              <w:t xml:space="preserve">IntRuoyi 适用范围</w:t>
            </w:r>
          </w:p>
        </w:tc>
        <w:tc>
          <w:tcPr>
            <w:shd w:val="clear" w:fill="1F4E79"/>
          </w:tcPr>
          <w:p w14:paraId="0010002E" w14:textId="0010004B">
            <w:r>
              <w:rPr>
                <w:b/>
                <w:color w:val="FFFFFF"/>
              </w:rPr>
              <w:t xml:space="preserve">验证深度</w:t>
            </w:r>
          </w:p>
        </w:tc>
      </w:tr>
      <w:tr>
        <w:trPr/>
        <w:tc>
          <w:p w14:paraId="00100030" w14:textId="00100031">
            <w:r>
              <w:t xml:space="preserve">类别一</w:t>
            </w:r>
          </w:p>
        </w:tc>
        <w:tc>
          <w:p w14:paraId="00100032" w14:textId="00100033">
            <w:r>
              <w:t xml:space="preserve">基础设施软件</w:t>
            </w:r>
          </w:p>
        </w:tc>
        <w:tc>
          <w:p w14:paraId="00100034" w14:textId="00100035">
            <w:r>
              <w:t xml:space="preserve">Java、MySQL、Redis、对象存储、Nginx、浏览器。</w:t>
            </w:r>
          </w:p>
        </w:tc>
        <w:tc>
          <w:p w14:paraId="00100036" w14:textId="00100037">
            <w:r>
              <w:t xml:space="preserve">安装确认、版本清单、配置确认、供应商评估。</w:t>
            </w:r>
          </w:p>
        </w:tc>
      </w:tr>
      <w:tr>
        <w:trPr/>
        <w:tc>
          <w:tcPr>
            <w:shd w:val="clear" w:fill="F3F6FA"/>
          </w:tcPr>
          <w:p w14:paraId="00100038" w14:textId="00100039">
            <w:r>
              <w:t xml:space="preserve">类别四</w:t>
            </w:r>
          </w:p>
        </w:tc>
        <w:tc>
          <w:tcPr>
            <w:shd w:val="clear" w:fill="F3F6FA"/>
          </w:tcPr>
          <w:p w14:paraId="0010003A" w14:textId="0010003B">
            <w:r>
              <w:t xml:space="preserve">配置型软件</w:t>
            </w:r>
          </w:p>
        </w:tc>
        <w:tc>
          <w:tcPr>
            <w:shd w:val="clear" w:fill="F3F6FA"/>
          </w:tcPr>
          <w:p w14:paraId="0010003C" w14:textId="0010003D">
            <w:r>
              <w:t xml:space="preserve">BPM、Jimu 报表、菜单权限、策略配置。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配置规格、配置测试、变更控制。</w:t>
            </w:r>
          </w:p>
        </w:tc>
      </w:tr>
      <w:tr>
        <w:trPr/>
        <w:tc>
          <w:p w14:paraId="00100040" w14:textId="00100041">
            <w:r>
              <w:t xml:space="preserve">类别五</w:t>
            </w:r>
          </w:p>
        </w:tc>
        <w:tc>
          <w:p w14:paraId="00100042" w14:textId="00100043">
            <w:r>
              <w:t xml:space="preserve">定制软件</w:t>
            </w:r>
          </w:p>
        </w:tc>
        <w:tc>
          <w:p w14:paraId="00100044" w14:textId="00100045">
            <w:r>
              <w:t xml:space="preserve">MES、eDHR、DCC、电子签名、GxP 审计、注册证、接口逻辑。</w:t>
            </w:r>
          </w:p>
        </w:tc>
        <w:tc>
          <w:p w14:paraId="00100046" w14:textId="00100047">
            <w:r>
              <w:t xml:space="preserve">完整生命周期验证。</w:t>
            </w:r>
          </w:p>
        </w:tc>
      </w:tr>
    </w:tbl>
    <w:p w14:paraId="0010004C" w14:textId="0010004D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三、关键风险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关键风险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4E" w14:textId="0010006C">
            <w:r>
              <w:rPr>
                <w:b/>
                <w:color w:val="FFFFFF"/>
              </w:rPr>
              <w:t xml:space="preserve">风险</w:t>
            </w:r>
          </w:p>
        </w:tc>
        <w:tc>
          <w:tcPr>
            <w:shd w:val="clear" w:fill="1F4E79"/>
          </w:tcPr>
          <w:p w14:paraId="00100050" w14:textId="0010006D">
            <w:r>
              <w:rPr>
                <w:b/>
                <w:color w:val="FFFFFF"/>
              </w:rPr>
              <w:t xml:space="preserve">影响</w:t>
            </w:r>
          </w:p>
        </w:tc>
        <w:tc>
          <w:tcPr>
            <w:shd w:val="clear" w:fill="1F4E79"/>
          </w:tcPr>
          <w:p w14:paraId="00100052" w14:textId="0010006E">
            <w:r>
              <w:rPr>
                <w:b/>
                <w:color w:val="FFFFFF"/>
              </w:rPr>
              <w:t xml:space="preserve">验证控制</w:t>
            </w:r>
          </w:p>
        </w:tc>
      </w:tr>
      <w:tr>
        <w:trPr/>
        <w:tc>
          <w:p w14:paraId="00100054" w14:textId="00100055">
            <w:r>
              <w:t xml:space="preserve">电子签名未绑定记录内容</w:t>
            </w:r>
          </w:p>
        </w:tc>
        <w:tc>
          <w:p w14:paraId="00100056" w14:textId="00100057">
            <w:r>
              <w:t xml:space="preserve">批记录或审批记录无效。</w:t>
            </w:r>
          </w:p>
        </w:tc>
        <w:tc>
          <w:p w14:paraId="00100058" w14:textId="00100059">
            <w:r>
              <w:t xml:space="preserve">OQ 签名认证、内容哈希、失败锁定和审计。</w:t>
            </w:r>
          </w:p>
        </w:tc>
      </w:tr>
      <w:tr>
        <w:trPr/>
        <w:tc>
          <w:tcPr>
            <w:shd w:val="clear" w:fill="F3F6FA"/>
          </w:tcPr>
          <w:p w14:paraId="0010005A" w14:textId="0010005B">
            <w:r>
              <w:t xml:space="preserve">审计追踪缺失或业务成功但审计失败</w:t>
            </w:r>
          </w:p>
        </w:tc>
        <w:tc>
          <w:tcPr>
            <w:shd w:val="clear" w:fill="F3F6FA"/>
          </w:tcPr>
          <w:p w14:paraId="0010005C" w14:textId="0010005D">
            <w:r>
              <w:t xml:space="preserve">数据完整性无法证明。</w:t>
            </w:r>
          </w:p>
        </w:tc>
        <w:tc>
          <w:tcPr>
            <w:shd w:val="clear" w:fill="F3F6FA"/>
          </w:tcPr>
          <w:p w14:paraId="0010005E" w14:textId="0010005F">
            <w:r>
              <w:t xml:space="preserve">同事务写入、只追加、导出和完整性校验。</w:t>
            </w:r>
          </w:p>
        </w:tc>
      </w:tr>
      <w:tr>
        <w:trPr/>
        <w:tc>
          <w:p w14:paraId="00100060" w14:textId="00100061">
            <w:r>
              <w:t xml:space="preserve">ERP 或 BPM 接口数据不一致</w:t>
            </w:r>
          </w:p>
        </w:tc>
        <w:tc>
          <w:p w14:paraId="00100062" w14:textId="00100063">
            <w:r>
              <w:t xml:space="preserve">生产、审批或放行依据错误。</w:t>
            </w:r>
          </w:p>
        </w:tc>
        <w:tc>
          <w:p w14:paraId="00100064" w14:textId="00100065">
            <w:r>
              <w:t xml:space="preserve">接口对账、失败处理、重复回调和异常场景测试。</w:t>
            </w:r>
          </w:p>
        </w:tc>
      </w:tr>
      <w:tr>
        <w:trPr/>
        <w:tc>
          <w:tcPr>
            <w:shd w:val="clear" w:fill="F3F6FA"/>
          </w:tcPr>
          <w:p w14:paraId="00100066" w14:textId="00100067">
            <w:r>
              <w:t xml:space="preserve">备份链不可恢复</w:t>
            </w:r>
          </w:p>
        </w:tc>
        <w:tc>
          <w:tcPr>
            <w:shd w:val="clear" w:fill="F3F6FA"/>
          </w:tcPr>
          <w:p w14:paraId="00100068" w14:textId="00100069">
            <w:r>
              <w:t xml:space="preserve">历史记录和审计证据不可追溯。</w:t>
            </w:r>
          </w:p>
        </w:tc>
        <w:tc>
          <w:tcPr>
            <w:shd w:val="clear" w:fill="F3F6FA"/>
          </w:tcPr>
          <w:p w14:paraId="0010006A" w14:textId="0010006B">
            <w:r>
              <w:t xml:space="preserve">真实恢复演练、校验和、证据包和 QA 复核。</w:t>
            </w:r>
          </w:p>
        </w:tc>
      </w:tr>
    </w:tbl>
    <w:p w14:paraId="0010006F" w14:textId="00100070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71" w14:textId="00100072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73" w14:textId="001000BB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75" w14:textId="001000BC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77" w14:textId="001000BD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79" w14:textId="001000BE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7B" w14:textId="001000BF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7D" w14:textId="001000C0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7F" w14:textId="00100080">
            <w:r>
              <w:t xml:space="preserve">编写</w:t>
            </w:r>
          </w:p>
        </w:tc>
        <w:tc>
          <w:p w14:paraId="00100081" w14:textId="00100082"/>
        </w:tc>
        <w:tc>
          <w:p w14:paraId="00100083" w14:textId="00100084"/>
        </w:tc>
        <w:tc>
          <w:p w14:paraId="00100085" w14:textId="00100086"/>
        </w:tc>
        <w:tc>
          <w:p w14:paraId="00100087" w14:textId="00100088"/>
        </w:tc>
        <w:tc>
          <w:p w14:paraId="00100089" w14:textId="0010008A"/>
        </w:tc>
      </w:tr>
      <w:tr>
        <w:trPr/>
        <w:tc>
          <w:tcPr>
            <w:shd w:val="clear" w:fill="F3F6FA"/>
          </w:tcPr>
          <w:p w14:paraId="0010008B" w14:textId="0010008C">
            <w:r>
              <w:t xml:space="preserve">业务审核</w:t>
            </w:r>
          </w:p>
        </w:tc>
        <w:tc>
          <w:tcPr>
            <w:shd w:val="clear" w:fill="F3F6FA"/>
          </w:tcPr>
          <w:p w14:paraId="0010008D" w14:textId="0010008E"/>
        </w:tc>
        <w:tc>
          <w:tcPr>
            <w:shd w:val="clear" w:fill="F3F6FA"/>
          </w:tcPr>
          <w:p w14:paraId="0010008F" w14:textId="00100090"/>
        </w:tc>
        <w:tc>
          <w:tcPr>
            <w:shd w:val="clear" w:fill="F3F6FA"/>
          </w:tcPr>
          <w:p w14:paraId="00100091" w14:textId="00100092"/>
        </w:tc>
        <w:tc>
          <w:tcPr>
            <w:shd w:val="clear" w:fill="F3F6FA"/>
          </w:tcPr>
          <w:p w14:paraId="00100093" w14:textId="00100094"/>
        </w:tc>
        <w:tc>
          <w:tcPr>
            <w:shd w:val="clear" w:fill="F3F6FA"/>
          </w:tcPr>
          <w:p w14:paraId="00100095" w14:textId="00100096"/>
        </w:tc>
      </w:tr>
      <w:tr>
        <w:trPr/>
        <w:tc>
          <w:p w14:paraId="00100097" w14:textId="00100098">
            <w:r>
              <w:t xml:space="preserve">IT 审核</w:t>
            </w:r>
          </w:p>
        </w:tc>
        <w:tc>
          <w:p w14:paraId="00100099" w14:textId="0010009A"/>
        </w:tc>
        <w:tc>
          <w:p w14:paraId="0010009B" w14:textId="0010009C"/>
        </w:tc>
        <w:tc>
          <w:p w14:paraId="0010009D" w14:textId="0010009E"/>
        </w:tc>
        <w:tc>
          <w:p w14:paraId="0010009F" w14:textId="001000A0"/>
        </w:tc>
        <w:tc>
          <w:p w14:paraId="001000A1" w14:textId="001000A2"/>
        </w:tc>
      </w:tr>
      <w:tr>
        <w:trPr/>
        <w:tc>
          <w:tcPr>
            <w:shd w:val="clear" w:fill="F3F6FA"/>
          </w:tcPr>
          <w:p w14:paraId="001000A3" w14:textId="001000A4">
            <w:r>
              <w:t xml:space="preserve">QA 审核</w:t>
            </w:r>
          </w:p>
        </w:tc>
        <w:tc>
          <w:tcPr>
            <w:shd w:val="clear" w:fill="F3F6FA"/>
          </w:tcPr>
          <w:p w14:paraId="001000A5" w14:textId="001000A6"/>
        </w:tc>
        <w:tc>
          <w:tcPr>
            <w:shd w:val="clear" w:fill="F3F6FA"/>
          </w:tcPr>
          <w:p w14:paraId="001000A7" w14:textId="001000A8"/>
        </w:tc>
        <w:tc>
          <w:tcPr>
            <w:shd w:val="clear" w:fill="F3F6FA"/>
          </w:tcPr>
          <w:p w14:paraId="001000A9" w14:textId="001000AA"/>
        </w:tc>
        <w:tc>
          <w:tcPr>
            <w:shd w:val="clear" w:fill="F3F6FA"/>
          </w:tcPr>
          <w:p w14:paraId="001000AB" w14:textId="001000AC"/>
        </w:tc>
        <w:tc>
          <w:tcPr>
            <w:shd w:val="clear" w:fill="F3F6FA"/>
          </w:tcPr>
          <w:p w14:paraId="001000AD" w14:textId="001000AE"/>
        </w:tc>
      </w:tr>
      <w:tr>
        <w:trPr/>
        <w:tc>
          <w:p w14:paraId="001000AF" w14:textId="001000B0">
            <w:r>
              <w:t xml:space="preserve">批准</w:t>
            </w:r>
          </w:p>
        </w:tc>
        <w:tc>
          <w:p w14:paraId="001000B1" w14:textId="001000B2"/>
        </w:tc>
        <w:tc>
          <w:p w14:paraId="001000B3" w14:textId="001000B4"/>
        </w:tc>
        <w:tc>
          <w:p w14:paraId="001000B5" w14:textId="001000B6"/>
        </w:tc>
        <w:tc>
          <w:p w14:paraId="001000B7" w14:textId="001000B8"/>
        </w:tc>
        <w:tc>
          <w:p w14:paraId="001000B9" w14:textId="001000BA"/>
        </w:tc>
      </w:tr>
    </w:tbl>
    <w:sectPr>
      <w:footerReference w:type="default" r:id="Red22b05a2d574ccf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C1" w14:textId="001000C3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bd978b0bb3b4e0e" /><Relationship Type="http://schemas.openxmlformats.org/officeDocument/2006/relationships/styles" Target="/word/styles.xml" Id="Rd2f9fe353cf8417e" /><Relationship Type="http://schemas.openxmlformats.org/officeDocument/2006/relationships/theme" Target="/word/theme/theme1.xml" Id="Rb154101e6adf4559" /><Relationship Type="http://schemas.openxmlformats.org/officeDocument/2006/relationships/numbering" Target="/word/numbering.xml" Id="R7f125fd0f4904edc" /><Relationship Type="http://schemas.openxmlformats.org/officeDocument/2006/relationships/footer" Target="/word/footer1.xml" Id="Red22b05a2d574c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2026-09-08T16:33:31.0000000Z</dcterms:created>
  <lastModifiedBy>OfficeCLI</lastModifiedBy>
  <dcterms:modified xsi:type="dcterms:W3CDTF">2026-09-08T16:33:31.0000000Z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GAMP 分类与风险评估报告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2026-09-08T16:33:51Z</vt:lpwstr>
  </op:property>
</op:Properties>
</file>