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a357c2eaf7a4f22" /><Relationship Type="http://schemas.openxmlformats.org/package/2006/relationships/metadata/core-properties" Target="/docProps/core.xml" Id="R2f74831663ed449e" /><Relationship Type="http://schemas.openxmlformats.org/officeDocument/2006/relationships/extended-properties" Target="/docProps/app.xml" Id="R1fc8050c906e4573" /><Relationship Type="http://schemas.openxmlformats.org/officeDocument/2006/relationships/custom-properties" Target="/docProps/custom.xml" Id="Rbfc80827ecbe40e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before="360" w:after="120" w:line="300" w:lineRule="auto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 xml:space="preserve">用户需求说明书 URS</w:t>
      </w:r>
    </w:p>
    <w:p w14:paraId="00100002" w14:textId="00100003">
      <w:pPr>
        <w:pStyle w:val="Normal"/>
        <w:spacing w:before="0" w:after="280" w:line="300" w:lineRule="auto"/>
        <w:jc w:val="center"/>
      </w:pPr>
      <w:r>
        <w:rPr>
          <w:rFonts w:ascii="Microsoft YaHei" w:hAnsi="Microsoft YaHei" w:eastAsia="Microsoft YaHei"/>
          <w:color w:val="333333"/>
          <w:sz w:val="26"/>
        </w:rPr>
        <w:t xml:space="preserve">IntRuoyi 计算机化系统验证正式送审分册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文件控制"/>
      </w:tblPr>
      <w:tblGrid>
        <w:gridCol w:w="4153"/>
        <w:gridCol w:w="4153"/>
      </w:tblGrid>
      <w:tr>
        <w:trPr>
          <w:tblHeader/>
        </w:trPr>
        <w:tc>
          <w:tcPr>
            <w:shd w:val="clear" w:fill="1F4E79"/>
          </w:tcPr>
          <w:p w14:paraId="00100004" w14:textId="00100020"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fill="1F4E79"/>
          </w:tcPr>
          <w:p w14:paraId="00100006" w14:textId="00100021">
            <w:r>
              <w:rPr>
                <w:b/>
                <w:color w:val="FFFFFF"/>
              </w:rPr>
              <w:t xml:space="preserve">内容</w:t>
            </w:r>
          </w:p>
        </w:tc>
      </w:tr>
      <w:tr>
        <w:trPr/>
        <w:tc>
          <w:p w14:paraId="00100008" w14:textId="00100009">
            <w:r>
              <w:t xml:space="preserve">系统名称</w:t>
            </w:r>
          </w:p>
        </w:tc>
        <w:tc>
          <w:p w14:paraId="0010000A" w14:textId="0010000B">
            <w:r>
              <w:t xml:space="preserve">IntRuoyi GxP 生产质量与文控系统</w:t>
            </w:r>
          </w:p>
        </w:tc>
      </w:tr>
      <w:tr>
        <w:trPr/>
        <w:tc>
          <w:tcPr>
            <w:shd w:val="clear" w:fill="F3F6FA"/>
          </w:tcPr>
          <w:p w14:paraId="0010000C" w14:textId="0010000D">
            <w:r>
              <w:t xml:space="preserve">文件编号</w:t>
            </w:r>
          </w:p>
        </w:tc>
        <w:tc>
          <w:tcPr>
            <w:shd w:val="clear" w:fill="F3F6FA"/>
          </w:tcPr>
          <w:p w14:paraId="0010000E" w14:textId="0010000F">
            <w:r>
              <w:t xml:space="preserve">CSV INT 二零二六零九零九 零四</w:t>
            </w:r>
          </w:p>
        </w:tc>
      </w:tr>
      <w:tr>
        <w:trPr/>
        <w:tc>
          <w:p w14:paraId="00100010" w14:textId="00100011">
            <w:r>
              <w:t xml:space="preserve">版本</w:t>
            </w:r>
          </w:p>
        </w:tc>
        <w:tc>
          <w:p w14:paraId="00100012" w14:textId="00100013">
            <w:r>
              <w:t xml:space="preserve">V1.0 待企业签章</w:t>
            </w:r>
          </w:p>
        </w:tc>
      </w:tr>
      <w:tr>
        <w:trPr/>
        <w:tc>
          <w:tcPr>
            <w:shd w:val="clear" w:fill="F3F6FA"/>
          </w:tcPr>
          <w:p w14:paraId="00100014" w14:textId="00100015">
            <w:r>
              <w:t xml:space="preserve">文件状态</w:t>
            </w:r>
          </w:p>
        </w:tc>
        <w:tc>
          <w:tcPr>
            <w:shd w:val="clear" w:fill="F3F6FA"/>
          </w:tcPr>
          <w:p w14:paraId="00100016" w14:textId="00100017">
            <w:r>
              <w:t xml:space="preserve">正式送审流转版。真实签字和执行证据由企业补齐后对外提交。</w:t>
            </w:r>
          </w:p>
        </w:tc>
      </w:tr>
      <w:tr>
        <w:trPr/>
        <w:tc>
          <w:p w14:paraId="00100018" w14:textId="00100019">
            <w:r>
              <w:t xml:space="preserve">文件责任</w:t>
            </w:r>
          </w:p>
        </w:tc>
        <w:tc>
          <w:p w14:paraId="0010001A" w14:textId="0010001B">
            <w:r>
              <w:t xml:space="preserve">业务负责人、QA、系统所有者</w:t>
            </w:r>
          </w:p>
        </w:tc>
      </w:tr>
      <w:tr>
        <w:trPr/>
        <w:tc>
          <w:tcPr>
            <w:shd w:val="clear" w:fill="F3F6FA"/>
          </w:tcPr>
          <w:p w14:paraId="0010001C" w14:textId="0010001D">
            <w:r>
              <w:t xml:space="preserve">编制日期</w:t>
            </w:r>
          </w:p>
        </w:tc>
        <w:tc>
          <w:tcPr>
            <w:shd w:val="clear" w:fill="F3F6FA"/>
          </w:tcPr>
          <w:p w14:paraId="0010001E" w14:textId="0010001F">
            <w:r>
              <w:t xml:space="preserve">二零二六年九月九日</w:t>
            </w:r>
          </w:p>
        </w:tc>
      </w:tr>
    </w:tbl>
    <w:p w14:paraId="00100022" w14:textId="00100023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一、预定用途</w:t>
      </w:r>
    </w:p>
    <w:p w14:paraId="00100024" w14:textId="00100025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IntRuoyi 用于支持生产、质量、文控和受控记录管理，包括生产订单、工序报工、PQC 检验、电子批记录、受控文件、注册证、电子签名、审计追踪、接口同步、备份恢复和质量放行。</w:t>
      </w:r>
    </w:p>
    <w:p w14:paraId="00100026" w14:textId="00100027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二、用户角色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用户角色"/>
      </w:tblPr>
      <w:tblGrid>
        <w:gridCol w:w="2768"/>
        <w:gridCol w:w="2768"/>
        <w:gridCol w:w="2768"/>
      </w:tblGrid>
      <w:tr>
        <w:trPr>
          <w:tblHeader/>
        </w:trPr>
        <w:tc>
          <w:tcPr>
            <w:shd w:val="clear" w:fill="1F4E79"/>
          </w:tcPr>
          <w:p w14:paraId="00100028" w14:textId="0010004C">
            <w:r>
              <w:rPr>
                <w:b/>
                <w:color w:val="FFFFFF"/>
              </w:rPr>
              <w:t xml:space="preserve">角色</w:t>
            </w:r>
          </w:p>
        </w:tc>
        <w:tc>
          <w:tcPr>
            <w:shd w:val="clear" w:fill="1F4E79"/>
          </w:tcPr>
          <w:p w14:paraId="0010002A" w14:textId="0010004D">
            <w:r>
              <w:rPr>
                <w:b/>
                <w:color w:val="FFFFFF"/>
              </w:rPr>
              <w:t xml:space="preserve">主要职责</w:t>
            </w:r>
          </w:p>
        </w:tc>
        <w:tc>
          <w:tcPr>
            <w:shd w:val="clear" w:fill="1F4E79"/>
          </w:tcPr>
          <w:p w14:paraId="0010002C" w14:textId="0010004E">
            <w:r>
              <w:rPr>
                <w:b/>
                <w:color w:val="FFFFFF"/>
              </w:rPr>
              <w:t xml:space="preserve">GxP 影响</w:t>
            </w:r>
          </w:p>
        </w:tc>
      </w:tr>
      <w:tr>
        <w:trPr/>
        <w:tc>
          <w:p w14:paraId="0010002E" w14:textId="0010002F">
            <w:r>
              <w:t xml:space="preserve">生产一线员工</w:t>
            </w:r>
          </w:p>
        </w:tc>
        <w:tc>
          <w:p w14:paraId="00100030" w14:textId="00100031">
            <w:r>
              <w:t xml:space="preserve">工序报工、设备参数、数量、损耗和签名提交。</w:t>
            </w:r>
          </w:p>
        </w:tc>
        <w:tc>
          <w:p w14:paraId="00100032" w14:textId="00100033">
            <w:r>
              <w:t xml:space="preserve">高</w:t>
            </w:r>
          </w:p>
        </w:tc>
      </w:tr>
      <w:tr>
        <w:trPr/>
        <w:tc>
          <w:tcPr>
            <w:shd w:val="clear" w:fill="F3F6FA"/>
          </w:tcPr>
          <w:p w14:paraId="00100034" w14:textId="00100035">
            <w:r>
              <w:t xml:space="preserve">PQC 检验员和组长</w:t>
            </w:r>
          </w:p>
        </w:tc>
        <w:tc>
          <w:tcPr>
            <w:shd w:val="clear" w:fill="F3F6FA"/>
          </w:tcPr>
          <w:p w14:paraId="00100036" w14:textId="00100037">
            <w:r>
              <w:t xml:space="preserve">检验提交、复核、退回和回填来源确认。</w:t>
            </w:r>
          </w:p>
        </w:tc>
        <w:tc>
          <w:tcPr>
            <w:shd w:val="clear" w:fill="F3F6FA"/>
          </w:tcPr>
          <w:p w14:paraId="00100038" w14:textId="00100039">
            <w:r>
              <w:t xml:space="preserve">高</w:t>
            </w:r>
          </w:p>
        </w:tc>
      </w:tr>
      <w:tr>
        <w:trPr/>
        <w:tc>
          <w:p w14:paraId="0010003A" w14:textId="0010003B">
            <w:r>
              <w:t xml:space="preserve">QA 和放行负责人</w:t>
            </w:r>
          </w:p>
        </w:tc>
        <w:tc>
          <w:p w14:paraId="0010003C" w14:textId="0010003D">
            <w:r>
              <w:t xml:space="preserve">规程维护、偏差处理、批记录审核和放行。</w:t>
            </w:r>
          </w:p>
        </w:tc>
        <w:tc>
          <w:p w14:paraId="0010003E" w14:textId="0010003F">
            <w:r>
              <w:t xml:space="preserve">高</w:t>
            </w:r>
          </w:p>
        </w:tc>
      </w:tr>
      <w:tr>
        <w:trPr/>
        <w:tc>
          <w:tcPr>
            <w:shd w:val="clear" w:fill="F3F6FA"/>
          </w:tcPr>
          <w:p w14:paraId="00100040" w14:textId="00100041">
            <w:r>
              <w:t xml:space="preserve">文控人员</w:t>
            </w:r>
          </w:p>
        </w:tc>
        <w:tc>
          <w:tcPr>
            <w:shd w:val="clear" w:fill="F3F6FA"/>
          </w:tcPr>
          <w:p w14:paraId="00100042" w14:textId="00100043">
            <w:r>
              <w:t xml:space="preserve">DCC 发布、受控浏览、下载授权和版本管理。</w:t>
            </w:r>
          </w:p>
        </w:tc>
        <w:tc>
          <w:tcPr>
            <w:shd w:val="clear" w:fill="F3F6FA"/>
          </w:tcPr>
          <w:p w14:paraId="00100044" w14:textId="00100045">
            <w:r>
              <w:t xml:space="preserve">高</w:t>
            </w:r>
          </w:p>
        </w:tc>
      </w:tr>
      <w:tr>
        <w:trPr/>
        <w:tc>
          <w:p w14:paraId="00100046" w14:textId="00100047">
            <w:r>
              <w:t xml:space="preserve">系统管理员</w:t>
            </w:r>
          </w:p>
        </w:tc>
        <w:tc>
          <w:p w14:paraId="00100048" w14:textId="00100049">
            <w:r>
              <w:t xml:space="preserve">账号、权限、配置、备份、审计导出和运行维护。</w:t>
            </w:r>
          </w:p>
        </w:tc>
        <w:tc>
          <w:p w14:paraId="0010004A" w14:textId="0010004B">
            <w:r>
              <w:t xml:space="preserve">高</w:t>
            </w:r>
          </w:p>
        </w:tc>
      </w:tr>
    </w:tbl>
    <w:p w14:paraId="0010004F" w14:textId="00100050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三、高风险需求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高风险需求"/>
      </w:tblPr>
      <w:tblGrid>
        <w:gridCol w:w="2768"/>
        <w:gridCol w:w="2768"/>
        <w:gridCol w:w="2768"/>
      </w:tblGrid>
      <w:tr>
        <w:trPr>
          <w:tblHeader/>
        </w:trPr>
        <w:tc>
          <w:tcPr>
            <w:shd w:val="clear" w:fill="1F4E79"/>
          </w:tcPr>
          <w:p w14:paraId="00100051" w14:textId="00100075">
            <w:r>
              <w:rPr>
                <w:b/>
                <w:color w:val="FFFFFF"/>
              </w:rPr>
              <w:t xml:space="preserve">需求编号</w:t>
            </w:r>
          </w:p>
        </w:tc>
        <w:tc>
          <w:tcPr>
            <w:shd w:val="clear" w:fill="1F4E79"/>
          </w:tcPr>
          <w:p w14:paraId="00100053" w14:textId="00100076">
            <w:r>
              <w:rPr>
                <w:b/>
                <w:color w:val="FFFFFF"/>
              </w:rPr>
              <w:t xml:space="preserve">需求摘要</w:t>
            </w:r>
          </w:p>
        </w:tc>
        <w:tc>
          <w:tcPr>
            <w:shd w:val="clear" w:fill="1F4E79"/>
          </w:tcPr>
          <w:p w14:paraId="00100055" w14:textId="00100077">
            <w:r>
              <w:rPr>
                <w:b/>
                <w:color w:val="FFFFFF"/>
              </w:rPr>
              <w:t xml:space="preserve">验证方式</w:t>
            </w:r>
          </w:p>
        </w:tc>
      </w:tr>
      <w:tr>
        <w:trPr/>
        <w:tc>
          <w:p w14:paraId="00100057" w14:textId="00100058">
            <w:r>
              <w:t xml:space="preserve">URS 一</w:t>
            </w:r>
          </w:p>
        </w:tc>
        <w:tc>
          <w:p w14:paraId="00100059" w14:textId="0010005A">
            <w:r>
              <w:t xml:space="preserve">系统应按风险确定 CSV 范围、深度和优先级。</w:t>
            </w:r>
          </w:p>
        </w:tc>
        <w:tc>
          <w:p w14:paraId="0010005B" w14:textId="0010005C">
            <w:r>
              <w:t xml:space="preserve">风险评估、RTM。</w:t>
            </w:r>
          </w:p>
        </w:tc>
      </w:tr>
      <w:tr>
        <w:trPr/>
        <w:tc>
          <w:tcPr>
            <w:shd w:val="clear" w:fill="F3F6FA"/>
          </w:tcPr>
          <w:p w14:paraId="0010005D" w14:textId="0010005E">
            <w:r>
              <w:t xml:space="preserve">URS 二</w:t>
            </w:r>
          </w:p>
        </w:tc>
        <w:tc>
          <w:tcPr>
            <w:shd w:val="clear" w:fill="F3F6FA"/>
          </w:tcPr>
          <w:p w14:paraId="0010005F" w14:textId="00100060">
            <w:r>
              <w:t xml:space="preserve">首次 GxP 使用前应完成批准的 IQ、OQ、PQ 和验证总结。</w:t>
            </w:r>
          </w:p>
        </w:tc>
        <w:tc>
          <w:tcPr>
            <w:shd w:val="clear" w:fill="F3F6FA"/>
          </w:tcPr>
          <w:p w14:paraId="00100061" w14:textId="00100062">
            <w:r>
              <w:t xml:space="preserve">IQ、OQ、PQ、VSR。</w:t>
            </w:r>
          </w:p>
        </w:tc>
      </w:tr>
      <w:tr>
        <w:trPr/>
        <w:tc>
          <w:p w14:paraId="00100063" w14:textId="00100064">
            <w:r>
              <w:t xml:space="preserve">URS 三</w:t>
            </w:r>
          </w:p>
        </w:tc>
        <w:tc>
          <w:p w14:paraId="00100065" w14:textId="00100066">
            <w:r>
              <w:t xml:space="preserve">电子签名应本人认证并保存签名人、时间、含义和内容绑定。</w:t>
            </w:r>
          </w:p>
        </w:tc>
        <w:tc>
          <w:p w14:paraId="00100067" w14:textId="00100068">
            <w:r>
              <w:t xml:space="preserve">安全 OQ、审计检查。</w:t>
            </w:r>
          </w:p>
        </w:tc>
      </w:tr>
      <w:tr>
        <w:trPr/>
        <w:tc>
          <w:tcPr>
            <w:shd w:val="clear" w:fill="F3F6FA"/>
          </w:tcPr>
          <w:p w14:paraId="00100069" w14:textId="0010006A">
            <w:r>
              <w:t xml:space="preserve">URS 四</w:t>
            </w:r>
          </w:p>
        </w:tc>
        <w:tc>
          <w:tcPr>
            <w:shd w:val="clear" w:fill="F3F6FA"/>
          </w:tcPr>
          <w:p w14:paraId="0010006B" w14:textId="0010006C">
            <w:r>
              <w:t xml:space="preserve">关键写入应记录审计追踪，包含变更前后值、原因和操作者。</w:t>
            </w:r>
          </w:p>
        </w:tc>
        <w:tc>
          <w:tcPr>
            <w:shd w:val="clear" w:fill="F3F6FA"/>
          </w:tcPr>
          <w:p w14:paraId="0010006D" w14:textId="0010006E">
            <w:r>
              <w:t xml:space="preserve">数据完整性 OQ。</w:t>
            </w:r>
          </w:p>
        </w:tc>
      </w:tr>
      <w:tr>
        <w:trPr/>
        <w:tc>
          <w:p w14:paraId="0010006F" w14:textId="00100070">
            <w:r>
              <w:t xml:space="preserve">URS 五</w:t>
            </w:r>
          </w:p>
        </w:tc>
        <w:tc>
          <w:p w14:paraId="00100071" w14:textId="00100072">
            <w:r>
              <w:t xml:space="preserve">批记录、PQC、文控、接口和备份应可追溯、可读、可恢复。</w:t>
            </w:r>
          </w:p>
        </w:tc>
        <w:tc>
          <w:p w14:paraId="00100073" w14:textId="00100074">
            <w:r>
              <w:t xml:space="preserve">OQ、PQ、恢复演练。</w:t>
            </w:r>
          </w:p>
        </w:tc>
      </w:tr>
    </w:tbl>
    <w:p w14:paraId="00100078" w14:textId="00100079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批准页</w:t>
      </w:r>
    </w:p>
    <w:p w14:paraId="0010007A" w14:textId="0010007B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本页用于企业正式签署。签署前应确认本文件所引用的原始记录、测试记录、偏差关闭、培训记录和供应商资料均已归档。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批准页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shd w:val="clear" w:fill="1F4E79"/>
          </w:tcPr>
          <w:p w14:paraId="0010007C" w14:textId="001000C4">
            <w:r>
              <w:rPr>
                <w:b/>
                <w:color w:val="FFFFFF"/>
              </w:rPr>
              <w:t xml:space="preserve">职责</w:t>
            </w:r>
          </w:p>
        </w:tc>
        <w:tc>
          <w:tcPr>
            <w:shd w:val="clear" w:fill="1F4E79"/>
          </w:tcPr>
          <w:p w14:paraId="0010007E" w14:textId="001000C5">
            <w:r>
              <w:rPr>
                <w:b/>
                <w:color w:val="FFFFFF"/>
              </w:rPr>
              <w:t xml:space="preserve">姓名</w:t>
            </w:r>
          </w:p>
        </w:tc>
        <w:tc>
          <w:tcPr>
            <w:shd w:val="clear" w:fill="1F4E79"/>
          </w:tcPr>
          <w:p w14:paraId="00100080" w14:textId="001000C6">
            <w:r>
              <w:rPr>
                <w:b/>
                <w:color w:val="FFFFFF"/>
              </w:rPr>
              <w:t xml:space="preserve">部门</w:t>
            </w:r>
          </w:p>
        </w:tc>
        <w:tc>
          <w:tcPr>
            <w:shd w:val="clear" w:fill="1F4E79"/>
          </w:tcPr>
          <w:p w14:paraId="00100082" w14:textId="001000C7">
            <w:r>
              <w:rPr>
                <w:b/>
                <w:color w:val="FFFFFF"/>
              </w:rPr>
              <w:t xml:space="preserve">审批意见</w:t>
            </w:r>
          </w:p>
        </w:tc>
        <w:tc>
          <w:tcPr>
            <w:shd w:val="clear" w:fill="1F4E79"/>
          </w:tcPr>
          <w:p w14:paraId="00100084" w14:textId="001000C8">
            <w:r>
              <w:rPr>
                <w:b/>
                <w:color w:val="FFFFFF"/>
              </w:rPr>
              <w:t xml:space="preserve">签字</w:t>
            </w:r>
          </w:p>
        </w:tc>
        <w:tc>
          <w:tcPr>
            <w:shd w:val="clear" w:fill="1F4E79"/>
          </w:tcPr>
          <w:p w14:paraId="00100086" w14:textId="001000C9">
            <w:r>
              <w:rPr>
                <w:b/>
                <w:color w:val="FFFFFF"/>
              </w:rPr>
              <w:t xml:space="preserve">日期</w:t>
            </w:r>
          </w:p>
        </w:tc>
      </w:tr>
      <w:tr>
        <w:trPr/>
        <w:tc>
          <w:p w14:paraId="00100088" w14:textId="00100089">
            <w:r>
              <w:t xml:space="preserve">编写</w:t>
            </w:r>
          </w:p>
        </w:tc>
        <w:tc>
          <w:p w14:paraId="0010008A" w14:textId="0010008B"/>
        </w:tc>
        <w:tc>
          <w:p w14:paraId="0010008C" w14:textId="0010008D"/>
        </w:tc>
        <w:tc>
          <w:p w14:paraId="0010008E" w14:textId="0010008F"/>
        </w:tc>
        <w:tc>
          <w:p w14:paraId="00100090" w14:textId="00100091"/>
        </w:tc>
        <w:tc>
          <w:p w14:paraId="00100092" w14:textId="00100093"/>
        </w:tc>
      </w:tr>
      <w:tr>
        <w:trPr/>
        <w:tc>
          <w:tcPr>
            <w:shd w:val="clear" w:fill="F3F6FA"/>
          </w:tcPr>
          <w:p w14:paraId="00100094" w14:textId="00100095">
            <w:r>
              <w:t xml:space="preserve">业务审核</w:t>
            </w:r>
          </w:p>
        </w:tc>
        <w:tc>
          <w:tcPr>
            <w:shd w:val="clear" w:fill="F3F6FA"/>
          </w:tcPr>
          <w:p w14:paraId="00100096" w14:textId="00100097"/>
        </w:tc>
        <w:tc>
          <w:tcPr>
            <w:shd w:val="clear" w:fill="F3F6FA"/>
          </w:tcPr>
          <w:p w14:paraId="00100098" w14:textId="00100099"/>
        </w:tc>
        <w:tc>
          <w:tcPr>
            <w:shd w:val="clear" w:fill="F3F6FA"/>
          </w:tcPr>
          <w:p w14:paraId="0010009A" w14:textId="0010009B"/>
        </w:tc>
        <w:tc>
          <w:tcPr>
            <w:shd w:val="clear" w:fill="F3F6FA"/>
          </w:tcPr>
          <w:p w14:paraId="0010009C" w14:textId="0010009D"/>
        </w:tc>
        <w:tc>
          <w:tcPr>
            <w:shd w:val="clear" w:fill="F3F6FA"/>
          </w:tcPr>
          <w:p w14:paraId="0010009E" w14:textId="0010009F"/>
        </w:tc>
      </w:tr>
      <w:tr>
        <w:trPr/>
        <w:tc>
          <w:p w14:paraId="001000A0" w14:textId="001000A1">
            <w:r>
              <w:t xml:space="preserve">IT 审核</w:t>
            </w:r>
          </w:p>
        </w:tc>
        <w:tc>
          <w:p w14:paraId="001000A2" w14:textId="001000A3"/>
        </w:tc>
        <w:tc>
          <w:p w14:paraId="001000A4" w14:textId="001000A5"/>
        </w:tc>
        <w:tc>
          <w:p w14:paraId="001000A6" w14:textId="001000A7"/>
        </w:tc>
        <w:tc>
          <w:p w14:paraId="001000A8" w14:textId="001000A9"/>
        </w:tc>
        <w:tc>
          <w:p w14:paraId="001000AA" w14:textId="001000AB"/>
        </w:tc>
      </w:tr>
      <w:tr>
        <w:trPr/>
        <w:tc>
          <w:tcPr>
            <w:shd w:val="clear" w:fill="F3F6FA"/>
          </w:tcPr>
          <w:p w14:paraId="001000AC" w14:textId="001000AD">
            <w:r>
              <w:t xml:space="preserve">QA 审核</w:t>
            </w:r>
          </w:p>
        </w:tc>
        <w:tc>
          <w:tcPr>
            <w:shd w:val="clear" w:fill="F3F6FA"/>
          </w:tcPr>
          <w:p w14:paraId="001000AE" w14:textId="001000AF"/>
        </w:tc>
        <w:tc>
          <w:tcPr>
            <w:shd w:val="clear" w:fill="F3F6FA"/>
          </w:tcPr>
          <w:p w14:paraId="001000B0" w14:textId="001000B1"/>
        </w:tc>
        <w:tc>
          <w:tcPr>
            <w:shd w:val="clear" w:fill="F3F6FA"/>
          </w:tcPr>
          <w:p w14:paraId="001000B2" w14:textId="001000B3"/>
        </w:tc>
        <w:tc>
          <w:tcPr>
            <w:shd w:val="clear" w:fill="F3F6FA"/>
          </w:tcPr>
          <w:p w14:paraId="001000B4" w14:textId="001000B5"/>
        </w:tc>
        <w:tc>
          <w:tcPr>
            <w:shd w:val="clear" w:fill="F3F6FA"/>
          </w:tcPr>
          <w:p w14:paraId="001000B6" w14:textId="001000B7"/>
        </w:tc>
      </w:tr>
      <w:tr>
        <w:trPr/>
        <w:tc>
          <w:p w14:paraId="001000B8" w14:textId="001000B9">
            <w:r>
              <w:t xml:space="preserve">批准</w:t>
            </w:r>
          </w:p>
        </w:tc>
        <w:tc>
          <w:p w14:paraId="001000BA" w14:textId="001000BB"/>
        </w:tc>
        <w:tc>
          <w:p w14:paraId="001000BC" w14:textId="001000BD"/>
        </w:tc>
        <w:tc>
          <w:p w14:paraId="001000BE" w14:textId="001000BF"/>
        </w:tc>
        <w:tc>
          <w:p w14:paraId="001000C0" w14:textId="001000C1"/>
        </w:tc>
        <w:tc>
          <w:p w14:paraId="001000C2" w14:textId="001000C3"/>
        </w:tc>
      </w:tr>
    </w:tbl>
    <w:sectPr>
      <w:footerReference w:type="default" r:id="R309da1434a864e7f"/>
      <w:pgSz w:w="11906" w:h="16838"/>
      <w:pgMar w:top="1247" w:right="1191" w:bottom="1134" w:left="1191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CA" w14:textId="001000CC">
    <w:pPr>
      <w:jc w:val="center"/>
    </w:pPr>
    <w:r>
      <w:rPr>
        <w:rFonts w:ascii="Microsoft YaHei" w:hAnsi="Microsoft YaHei" w:eastAsia="Microsoft YaHei"/>
        <w:sz w:val="18"/>
      </w:rPr>
      <w:t xml:space="preserve">第 </w:t>
    </w:r>
    <w:r>
      <w:rPr>
        <w:rFonts w:ascii="Microsoft YaHei" w:hAnsi="Microsoft YaHei" w:eastAsia="Microsoft YaHei"/>
        <w:sz w:val="18"/>
      </w:rPr>
      <w:fldChar w:fldCharType="begin"/>
    </w:r>
    <w:r>
      <w:rPr>
        <w:rFonts w:ascii="Microsoft YaHei" w:hAnsi="Microsoft YaHei" w:eastAsia="Microsoft YaHei"/>
        <w:sz w:val="18"/>
      </w:rPr>
      <w:instrText xml:space="preserve"> PAGE </w:instrText>
    </w:r>
    <w:r>
      <w:rPr>
        <w:rFonts w:ascii="Microsoft YaHei" w:hAnsi="Microsoft YaHei" w:eastAsia="Microsoft YaHei"/>
        <w:sz w:val="18"/>
      </w:rPr>
      <w:fldChar w:fldCharType="separate"/>
    </w:r>
    <w:r>
      <w:rPr>
        <w:rFonts w:ascii="Microsoft YaHei" w:hAnsi="Microsoft YaHei" w:eastAsia="Microsoft YaHei"/>
        <w:sz w:val="18"/>
      </w:rPr>
      <w:t xml:space="preserve">1</w:t>
    </w:r>
    <w:r>
      <w:rPr>
        <w:rFonts w:ascii="Microsoft YaHei" w:hAnsi="Microsoft YaHei" w:eastAsia="Microsoft YaHei"/>
        <w:sz w:val="18"/>
      </w:rPr>
      <w:fldChar w:fldCharType="end"/>
    </w:r>
    <w:r>
      <w:rPr/>
      <w:t xml:space="preserve"> 页</w:t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Microsoft YaHei" w:hAnsi="Microsoft YaHei" w:eastAsia="Microsoft YaHei" w:cs="Microsoft YaHe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698cc870fca4cef" /><Relationship Type="http://schemas.openxmlformats.org/officeDocument/2006/relationships/styles" Target="/word/styles.xml" Id="R75022819a5574377" /><Relationship Type="http://schemas.openxmlformats.org/officeDocument/2006/relationships/theme" Target="/word/theme/theme1.xml" Id="R54ae255ccad14bf7" /><Relationship Type="http://schemas.openxmlformats.org/officeDocument/2006/relationships/numbering" Target="/word/numbering.xml" Id="R6a854352e9a84f45" /><Relationship Type="http://schemas.openxmlformats.org/officeDocument/2006/relationships/footer" Target="/word/footer1.xml" Id="R309da1434a864e7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Codex</dc:creator>
  <dcterms:created xsi:type="dcterms:W3CDTF">2026-09-08T16:34:05.0000000Z</dcterms:created>
  <lastModifiedBy>OfficeCLI</lastModifiedBy>
  <dcterms:modified xsi:type="dcterms:W3CDTF">2026-09-08T16:34:05.0000000Z</dcterms:modified>
  <dc:description>IntRuoyi 计算机化系统验证正式送审分册，待企业签章和原始证据补齐后提交。</dc:description>
  <dc:subject>IntRuoyi CSV 正式送审分册</dc:subject>
  <keywords>CSV,GxP,计算机化系统验证,送审分册</keywords>
  <dc:title>用户需求说明书 URS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2026-09-08T16:34:26Z</vt:lpwstr>
  </op:property>
</op:Properties>
</file>