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0b3a386bcd4a57" /><Relationship Type="http://schemas.openxmlformats.org/package/2006/relationships/metadata/core-properties" Target="/docProps/core.xml" Id="R8bac7f528e324429" /><Relationship Type="http://schemas.openxmlformats.org/officeDocument/2006/relationships/extended-properties" Target="/docProps/app.xml" Id="Ra2b0f41831d04dc2" /><Relationship Type="http://schemas.openxmlformats.org/officeDocument/2006/relationships/custom-properties" Target="/docProps/custom.xml" Id="R6448a65d22db440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功能配置与设计说明 FS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零五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IT 负责人、系统所有者、开发负责人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一、架构摘要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架构摘要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24" w14:textId="00100042">
            <w:r>
              <w:rPr>
                <w:b/>
                <w:color w:val="FFFFFF"/>
              </w:rPr>
              <w:t xml:space="preserve">层级</w:t>
            </w:r>
          </w:p>
        </w:tc>
        <w:tc>
          <w:tcPr>
            <w:shd w:val="clear" w:fill="1F4E79"/>
          </w:tcPr>
          <w:p w14:paraId="00100026" w14:textId="00100043">
            <w:r>
              <w:rPr>
                <w:b/>
                <w:color w:val="FFFFFF"/>
              </w:rPr>
              <w:t xml:space="preserve">设计摘要</w:t>
            </w:r>
          </w:p>
        </w:tc>
        <w:tc>
          <w:tcPr>
            <w:shd w:val="clear" w:fill="1F4E79"/>
          </w:tcPr>
          <w:p w14:paraId="00100028" w14:textId="00100044">
            <w:r>
              <w:rPr>
                <w:b/>
                <w:color w:val="FFFFFF"/>
              </w:rPr>
              <w:t xml:space="preserve">验证关注点</w:t>
            </w:r>
          </w:p>
        </w:tc>
      </w:tr>
      <w:tr>
        <w:trPr/>
        <w:tc>
          <w:p w14:paraId="0010002A" w14:textId="0010002B">
            <w:r>
              <w:t xml:space="preserve">前端</w:t>
            </w:r>
          </w:p>
        </w:tc>
        <w:tc>
          <w:p w14:paraId="0010002C" w14:textId="0010002D">
            <w:r>
              <w:t xml:space="preserve">Vue 管理端承载 MES、DCC、注册证、表单中心和测试管理页面。</w:t>
            </w:r>
          </w:p>
        </w:tc>
        <w:tc>
          <w:p w14:paraId="0010002E" w14:textId="0010002F">
            <w:r>
              <w:t xml:space="preserve">角色入口、页面权限、真实用户路径。</w:t>
            </w:r>
          </w:p>
        </w:tc>
      </w:tr>
      <w:tr>
        <w:trPr/>
        <w:tc>
          <w:tcPr>
            <w:shd w:val="clear" w:fill="F3F6FA"/>
          </w:tcPr>
          <w:p w14:paraId="00100030" w14:textId="00100031">
            <w:r>
              <w:t xml:space="preserve">后端</w:t>
            </w:r>
          </w:p>
        </w:tc>
        <w:tc>
          <w:tcPr>
            <w:shd w:val="clear" w:fill="F3F6FA"/>
          </w:tcPr>
          <w:p w14:paraId="00100032" w14:textId="00100033">
            <w:r>
              <w:t xml:space="preserve">Java、Spring Boot、Maven 多模块单体。</w:t>
            </w:r>
          </w:p>
        </w:tc>
        <w:tc>
          <w:tcPr>
            <w:shd w:val="clear" w:fill="F3F6FA"/>
          </w:tcPr>
          <w:p w14:paraId="00100034" w14:textId="00100035">
            <w:r>
              <w:t xml:space="preserve">业务事务、权限拦截、签名和审计。</w:t>
            </w:r>
          </w:p>
        </w:tc>
      </w:tr>
      <w:tr>
        <w:trPr/>
        <w:tc>
          <w:p w14:paraId="00100036" w14:textId="00100037">
            <w:r>
              <w:t xml:space="preserve">数据库</w:t>
            </w:r>
          </w:p>
        </w:tc>
        <w:tc>
          <w:p w14:paraId="00100038" w14:textId="00100039">
            <w:r>
              <w:t xml:space="preserve">MySQL 管理业务表、签名表、审计表、权限表和迁移记录。</w:t>
            </w:r>
          </w:p>
        </w:tc>
        <w:tc>
          <w:p w14:paraId="0010003A" w14:textId="0010003B">
            <w:r>
              <w:t xml:space="preserve">迁移清单、哈希、备份和恢复。</w:t>
            </w:r>
          </w:p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存储和接口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对象存储、ERP、BPM、报表、Word 解析和时间源。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接口对账、失败关闭、文件哈希和版本。</w:t>
            </w:r>
          </w:p>
        </w:tc>
      </w:tr>
    </w:tbl>
    <w:p w14:paraId="00100045" w14:textId="00100046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二、关键设计控制</w:t>
      </w:r>
    </w:p>
    <w:p w14:paraId="00100047" w14:textId="00100048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电子签名应统一身份重新认证、签名含义、签名内容快照、证据哈希和失败锁定。</w:t>
      </w:r>
    </w:p>
    <w:p w14:paraId="00100049" w14:textId="0010004A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GxP 审计追踪应与业务写入同事务提交，审计失败时业务不得返回成功。</w:t>
      </w:r>
    </w:p>
    <w:p w14:paraId="0010004B" w14:textId="0010004C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DCC 应保持逻辑文件、大版本、小版本、发布原子切换和历史可追溯。</w:t>
      </w:r>
    </w:p>
    <w:p w14:paraId="0010004D" w14:textId="0010004E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表单中心和 MES 批记录应共享解析能力，但业务入口和写入边界必须隔离。</w:t>
      </w:r>
    </w:p>
    <w:p w14:paraId="0010004F" w14:textId="0010005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三、设计证据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设计证据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51" w14:textId="00100069">
            <w:r>
              <w:rPr>
                <w:b/>
                <w:color w:val="FFFFFF"/>
              </w:rPr>
              <w:t xml:space="preserve">证据</w:t>
            </w:r>
          </w:p>
        </w:tc>
        <w:tc>
          <w:tcPr>
            <w:shd w:val="clear" w:fill="1F4E79"/>
          </w:tcPr>
          <w:p w14:paraId="00100053" w14:textId="0010006A">
            <w:r>
              <w:rPr>
                <w:b/>
                <w:color w:val="FFFFFF"/>
              </w:rPr>
              <w:t xml:space="preserve">覆盖内容</w:t>
            </w:r>
          </w:p>
        </w:tc>
      </w:tr>
      <w:tr>
        <w:trPr/>
        <w:tc>
          <w:p w14:paraId="00100055" w14:textId="00100056">
            <w:r>
              <w:t xml:space="preserve">生产角色系统操作文档</w:t>
            </w:r>
          </w:p>
        </w:tc>
        <w:tc>
          <w:p w14:paraId="00100057" w14:textId="00100058">
            <w:r>
              <w:t xml:space="preserve">生产、PQC、批记录和放行流程。</w:t>
            </w:r>
          </w:p>
        </w:tc>
      </w:tr>
      <w:tr>
        <w:trPr/>
        <w:tc>
          <w:tcPr>
            <w:shd w:val="clear" w:fill="F3F6FA"/>
          </w:tcPr>
          <w:p w14:paraId="00100059" w14:textId="0010005A">
            <w:r>
              <w:t xml:space="preserve">DCC 版本模型 ADR</w:t>
            </w:r>
          </w:p>
        </w:tc>
        <w:tc>
          <w:tcPr>
            <w:shd w:val="clear" w:fill="F3F6FA"/>
          </w:tcPr>
          <w:p w14:paraId="0010005B" w14:textId="0010005C">
            <w:r>
              <w:t xml:space="preserve">文控版本、审批、发布和历史。</w:t>
            </w:r>
          </w:p>
        </w:tc>
      </w:tr>
      <w:tr>
        <w:trPr/>
        <w:tc>
          <w:p w14:paraId="0010005D" w14:textId="0010005E">
            <w:r>
              <w:t xml:space="preserve">统一 GxP 审计追踪 ADR</w:t>
            </w:r>
          </w:p>
        </w:tc>
        <w:tc>
          <w:p w14:paraId="0010005F" w14:textId="00100060">
            <w:r>
              <w:t xml:space="preserve">审计同事务、只追加、导出和归档。</w:t>
            </w:r>
          </w:p>
        </w:tc>
      </w:tr>
      <w:tr>
        <w:trPr/>
        <w:tc>
          <w:tcPr>
            <w:shd w:val="clear" w:fill="F3F6FA"/>
          </w:tcPr>
          <w:p w14:paraId="00100061" w14:textId="00100062">
            <w:r>
              <w:t xml:space="preserve">统一电子签名内核 ADR</w:t>
            </w:r>
          </w:p>
        </w:tc>
        <w:tc>
          <w:tcPr>
            <w:shd w:val="clear" w:fill="F3F6FA"/>
          </w:tcPr>
          <w:p w14:paraId="00100063" w14:textId="00100064">
            <w:r>
              <w:t xml:space="preserve">签名身份、意图、时间、内容绑定。</w:t>
            </w:r>
          </w:p>
        </w:tc>
      </w:tr>
      <w:tr>
        <w:trPr/>
        <w:tc>
          <w:p w14:paraId="00100065" w14:textId="00100066">
            <w:r>
              <w:t xml:space="preserve">共享 Word 模板解析设计</w:t>
            </w:r>
          </w:p>
        </w:tc>
        <w:tc>
          <w:p w14:paraId="00100067" w14:textId="00100068">
            <w:r>
              <w:t xml:space="preserve">表单解析、边界和真实样本验证。</w:t>
            </w:r>
          </w:p>
        </w:tc>
      </w:tr>
    </w:tbl>
    <w:p w14:paraId="0010006B" w14:textId="0010006C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6D" w14:textId="0010006E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6F" w14:textId="001000B7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71" w14:textId="001000B8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73" w14:textId="001000B9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75" w14:textId="001000BA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77" w14:textId="001000BB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79" w14:textId="001000BC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7B" w14:textId="0010007C">
            <w:r>
              <w:t xml:space="preserve">编写</w:t>
            </w:r>
          </w:p>
        </w:tc>
        <w:tc>
          <w:p w14:paraId="0010007D" w14:textId="0010007E"/>
        </w:tc>
        <w:tc>
          <w:p w14:paraId="0010007F" w14:textId="00100080"/>
        </w:tc>
        <w:tc>
          <w:p w14:paraId="00100081" w14:textId="00100082"/>
        </w:tc>
        <w:tc>
          <w:p w14:paraId="00100083" w14:textId="00100084"/>
        </w:tc>
        <w:tc>
          <w:p w14:paraId="00100085" w14:textId="00100086"/>
        </w:tc>
      </w:tr>
      <w:tr>
        <w:trPr/>
        <w:tc>
          <w:tcPr>
            <w:shd w:val="clear" w:fill="F3F6FA"/>
          </w:tcPr>
          <w:p w14:paraId="00100087" w14:textId="00100088">
            <w:r>
              <w:t xml:space="preserve">业务审核</w:t>
            </w:r>
          </w:p>
        </w:tc>
        <w:tc>
          <w:tcPr>
            <w:shd w:val="clear" w:fill="F3F6FA"/>
          </w:tcPr>
          <w:p w14:paraId="00100089" w14:textId="0010008A"/>
        </w:tc>
        <w:tc>
          <w:tcPr>
            <w:shd w:val="clear" w:fill="F3F6FA"/>
          </w:tcPr>
          <w:p w14:paraId="0010008B" w14:textId="0010008C"/>
        </w:tc>
        <w:tc>
          <w:tcPr>
            <w:shd w:val="clear" w:fill="F3F6FA"/>
          </w:tcPr>
          <w:p w14:paraId="0010008D" w14:textId="0010008E"/>
        </w:tc>
        <w:tc>
          <w:tcPr>
            <w:shd w:val="clear" w:fill="F3F6FA"/>
          </w:tcPr>
          <w:p w14:paraId="0010008F" w14:textId="00100090"/>
        </w:tc>
        <w:tc>
          <w:tcPr>
            <w:shd w:val="clear" w:fill="F3F6FA"/>
          </w:tcPr>
          <w:p w14:paraId="00100091" w14:textId="00100092"/>
        </w:tc>
      </w:tr>
      <w:tr>
        <w:trPr/>
        <w:tc>
          <w:p w14:paraId="00100093" w14:textId="00100094">
            <w:r>
              <w:t xml:space="preserve">IT 审核</w:t>
            </w:r>
          </w:p>
        </w:tc>
        <w:tc>
          <w:p w14:paraId="00100095" w14:textId="00100096"/>
        </w:tc>
        <w:tc>
          <w:p w14:paraId="00100097" w14:textId="00100098"/>
        </w:tc>
        <w:tc>
          <w:p w14:paraId="00100099" w14:textId="0010009A"/>
        </w:tc>
        <w:tc>
          <w:p w14:paraId="0010009B" w14:textId="0010009C"/>
        </w:tc>
        <w:tc>
          <w:p w14:paraId="0010009D" w14:textId="0010009E"/>
        </w:tc>
      </w:tr>
      <w:tr>
        <w:trPr/>
        <w:tc>
          <w:tcPr>
            <w:shd w:val="clear" w:fill="F3F6FA"/>
          </w:tcPr>
          <w:p w14:paraId="0010009F" w14:textId="001000A0">
            <w:r>
              <w:t xml:space="preserve">QA 审核</w:t>
            </w:r>
          </w:p>
        </w:tc>
        <w:tc>
          <w:tcPr>
            <w:shd w:val="clear" w:fill="F3F6FA"/>
          </w:tcPr>
          <w:p w14:paraId="001000A1" w14:textId="001000A2"/>
        </w:tc>
        <w:tc>
          <w:tcPr>
            <w:shd w:val="clear" w:fill="F3F6FA"/>
          </w:tcPr>
          <w:p w14:paraId="001000A3" w14:textId="001000A4"/>
        </w:tc>
        <w:tc>
          <w:tcPr>
            <w:shd w:val="clear" w:fill="F3F6FA"/>
          </w:tcPr>
          <w:p w14:paraId="001000A5" w14:textId="001000A6"/>
        </w:tc>
        <w:tc>
          <w:tcPr>
            <w:shd w:val="clear" w:fill="F3F6FA"/>
          </w:tcPr>
          <w:p w14:paraId="001000A7" w14:textId="001000A8"/>
        </w:tc>
        <w:tc>
          <w:tcPr>
            <w:shd w:val="clear" w:fill="F3F6FA"/>
          </w:tcPr>
          <w:p w14:paraId="001000A9" w14:textId="001000AA"/>
        </w:tc>
      </w:tr>
      <w:tr>
        <w:trPr/>
        <w:tc>
          <w:p w14:paraId="001000AB" w14:textId="001000AC">
            <w:r>
              <w:t xml:space="preserve">批准</w:t>
            </w:r>
          </w:p>
        </w:tc>
        <w:tc>
          <w:p w14:paraId="001000AD" w14:textId="001000AE"/>
        </w:tc>
        <w:tc>
          <w:p w14:paraId="001000AF" w14:textId="001000B0"/>
        </w:tc>
        <w:tc>
          <w:p w14:paraId="001000B1" w14:textId="001000B2"/>
        </w:tc>
        <w:tc>
          <w:p w14:paraId="001000B3" w14:textId="001000B4"/>
        </w:tc>
        <w:tc>
          <w:p w14:paraId="001000B5" w14:textId="001000B6"/>
        </w:tc>
      </w:tr>
    </w:tbl>
    <w:sectPr>
      <w:footerReference w:type="default" r:id="R7fc09ef9505f4b7a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D" w14:textId="001000BF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d1e1c9c6bd84f8a" /><Relationship Type="http://schemas.openxmlformats.org/officeDocument/2006/relationships/styles" Target="/word/styles.xml" Id="R53d5fdf5d6e441b1" /><Relationship Type="http://schemas.openxmlformats.org/officeDocument/2006/relationships/theme" Target="/word/theme/theme1.xml" Id="R170408a86e174492" /><Relationship Type="http://schemas.openxmlformats.org/officeDocument/2006/relationships/numbering" Target="/word/numbering.xml" Id="R84fbb01fdf2f47ef" /><Relationship Type="http://schemas.openxmlformats.org/officeDocument/2006/relationships/footer" Target="/word/footer1.xml" Id="R7fc09ef9505f4b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2026-09-08T16:34:37.0000000Z</dcterms:created>
  <lastModifiedBy>OfficeCLI</lastModifiedBy>
  <dcterms:modified xsi:type="dcterms:W3CDTF">2026-09-08T16:34:37.0000000Z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功能配置与设计说明 FS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2026-09-08T16:37:07Z</vt:lpwstr>
  </op:property>
</op:Properties>
</file>