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12e81ed1f84fb4" /><Relationship Type="http://schemas.openxmlformats.org/package/2006/relationships/metadata/core-properties" Target="/docProps/core.xml" Id="Rea2693e698fd46b3" /><Relationship Type="http://schemas.openxmlformats.org/officeDocument/2006/relationships/extended-properties" Target="/docProps/app.xml" Id="Rd419d9d67e8a418e" /><Relationship Type="http://schemas.openxmlformats.org/officeDocument/2006/relationships/custom-properties" Target="/docProps/custom.xml" Id="R5bea86fd1fcf407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IQ 安装确认方案与记录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零六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IT 运维负责人、验证负责人、QA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确认被验证环境、应用版本、数据库、配置、对象存储、备份、时间源、权限种子和审计配置与批准基线一致。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二、IQ 检查表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IQ 检查表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28" w14:textId="00100094">
            <w:r>
              <w:rPr>
                <w:b/>
                <w:color w:val="FFFFFF"/>
              </w:rPr>
              <w:t xml:space="preserve">IQ 编号</w:t>
            </w:r>
          </w:p>
        </w:tc>
        <w:tc>
          <w:tcPr>
            <w:shd w:val="clear" w:fill="1F4E79"/>
          </w:tcPr>
          <w:p w14:paraId="0010002A" w14:textId="00100095">
            <w:r>
              <w:rPr>
                <w:b/>
                <w:color w:val="FFFFFF"/>
              </w:rPr>
              <w:t xml:space="preserve">检查项</w:t>
            </w:r>
          </w:p>
        </w:tc>
        <w:tc>
          <w:tcPr>
            <w:shd w:val="clear" w:fill="1F4E79"/>
          </w:tcPr>
          <w:p w14:paraId="0010002C" w14:textId="00100096">
            <w:r>
              <w:rPr>
                <w:b/>
                <w:color w:val="FFFFFF"/>
              </w:rPr>
              <w:t xml:space="preserve">预期结果</w:t>
            </w:r>
          </w:p>
        </w:tc>
        <w:tc>
          <w:tcPr>
            <w:shd w:val="clear" w:fill="1F4E79"/>
          </w:tcPr>
          <w:p w14:paraId="0010002E" w14:textId="00100097">
            <w:r>
              <w:rPr>
                <w:b/>
                <w:color w:val="FFFFFF"/>
              </w:rPr>
              <w:t xml:space="preserve">实际结果</w:t>
            </w:r>
          </w:p>
        </w:tc>
        <w:tc>
          <w:tcPr>
            <w:shd w:val="clear" w:fill="1F4E79"/>
          </w:tcPr>
          <w:p w14:paraId="00100030" w14:textId="00100098">
            <w:r>
              <w:rPr>
                <w:b/>
                <w:color w:val="FFFFFF"/>
              </w:rPr>
              <w:t xml:space="preserve">执行人</w:t>
            </w:r>
          </w:p>
        </w:tc>
        <w:tc>
          <w:tcPr>
            <w:shd w:val="clear" w:fill="1F4E79"/>
          </w:tcPr>
          <w:p w14:paraId="00100032" w14:textId="00100099">
            <w:r>
              <w:rPr>
                <w:b/>
                <w:color w:val="FFFFFF"/>
              </w:rPr>
              <w:t xml:space="preserve">复核</w:t>
            </w:r>
          </w:p>
        </w:tc>
      </w:tr>
      <w:tr>
        <w:trPr/>
        <w:tc>
          <w:p w14:paraId="00100034" w14:textId="00100035">
            <w:r>
              <w:t xml:space="preserve">IQ 一</w:t>
            </w:r>
          </w:p>
        </w:tc>
        <w:tc>
          <w:p w14:paraId="00100036" w14:textId="00100037">
            <w:r>
              <w:t xml:space="preserve">应用版本、后端提交、前端提交、发布包摘要。</w:t>
            </w:r>
          </w:p>
        </w:tc>
        <w:tc>
          <w:p w14:paraId="00100038" w14:textId="00100039">
            <w:r>
              <w:t xml:space="preserve">与批准版本一致。</w:t>
            </w:r>
          </w:p>
        </w:tc>
        <w:tc>
          <w:p w14:paraId="0010003A" w14:textId="0010003B"/>
        </w:tc>
        <w:tc>
          <w:p w14:paraId="0010003C" w14:textId="0010003D"/>
        </w:tc>
        <w:tc>
          <w:p w14:paraId="0010003E" w14:textId="0010003F"/>
        </w:tc>
      </w:tr>
      <w:tr>
        <w:trPr/>
        <w:tc>
          <w:tcPr>
            <w:shd w:val="clear" w:fill="F3F6FA"/>
          </w:tcPr>
          <w:p w14:paraId="00100040" w14:textId="00100041">
            <w:r>
              <w:t xml:space="preserve">IQ 二</w:t>
            </w:r>
          </w:p>
        </w:tc>
        <w:tc>
          <w:tcPr>
            <w:shd w:val="clear" w:fill="F3F6FA"/>
          </w:tcPr>
          <w:p w14:paraId="00100042" w14:textId="00100043">
            <w:r>
              <w:t xml:space="preserve">Java、Spring 配置、模块启用、配置文件哈希。</w:t>
            </w:r>
          </w:p>
        </w:tc>
        <w:tc>
          <w:tcPr>
            <w:shd w:val="clear" w:fill="F3F6FA"/>
          </w:tcPr>
          <w:p w14:paraId="00100044" w14:textId="00100045">
            <w:r>
              <w:t xml:space="preserve">与批准基线一致。</w:t>
            </w:r>
          </w:p>
        </w:tc>
        <w:tc>
          <w:tcPr>
            <w:shd w:val="clear" w:fill="F3F6FA"/>
          </w:tcPr>
          <w:p w14:paraId="00100046" w14:textId="00100047"/>
        </w:tc>
        <w:tc>
          <w:tcPr>
            <w:shd w:val="clear" w:fill="F3F6FA"/>
          </w:tcPr>
          <w:p w14:paraId="00100048" w14:textId="00100049"/>
        </w:tc>
        <w:tc>
          <w:tcPr>
            <w:shd w:val="clear" w:fill="F3F6FA"/>
          </w:tcPr>
          <w:p w14:paraId="0010004A" w14:textId="0010004B"/>
        </w:tc>
      </w:tr>
      <w:tr>
        <w:trPr/>
        <w:tc>
          <w:p w14:paraId="0010004C" w14:textId="0010004D">
            <w:r>
              <w:t xml:space="preserve">IQ 三</w:t>
            </w:r>
          </w:p>
        </w:tc>
        <w:tc>
          <w:p w14:paraId="0010004E" w14:textId="0010004F">
            <w:r>
              <w:t xml:space="preserve">MySQL 版本、迁移清单、迁移状态。</w:t>
            </w:r>
          </w:p>
        </w:tc>
        <w:tc>
          <w:p w14:paraId="00100050" w14:textId="00100051">
            <w:r>
              <w:t xml:space="preserve">迁移全部成功且可追溯。</w:t>
            </w:r>
          </w:p>
        </w:tc>
        <w:tc>
          <w:p w14:paraId="00100052" w14:textId="00100053"/>
        </w:tc>
        <w:tc>
          <w:p w14:paraId="00100054" w14:textId="00100055"/>
        </w:tc>
        <w:tc>
          <w:p w14:paraId="00100056" w14:textId="00100057"/>
        </w:tc>
      </w:tr>
      <w:tr>
        <w:trPr/>
        <w:tc>
          <w:tcPr>
            <w:shd w:val="clear" w:fill="F3F6FA"/>
          </w:tcPr>
          <w:p w14:paraId="00100058" w14:textId="00100059">
            <w:r>
              <w:t xml:space="preserve">IQ 四</w:t>
            </w:r>
          </w:p>
        </w:tc>
        <w:tc>
          <w:tcPr>
            <w:shd w:val="clear" w:fill="F3F6FA"/>
          </w:tcPr>
          <w:p w14:paraId="0010005A" w14:textId="0010005B">
            <w:r>
              <w:t xml:space="preserve">对象存储、NAS、权限、留存和文件哈希。</w:t>
            </w:r>
          </w:p>
        </w:tc>
        <w:tc>
          <w:tcPr>
            <w:shd w:val="clear" w:fill="F3F6FA"/>
          </w:tcPr>
          <w:p w14:paraId="0010005C" w14:textId="0010005D">
            <w:r>
              <w:t xml:space="preserve">读写、权限和留存配置符合批准要求。</w:t>
            </w:r>
          </w:p>
        </w:tc>
        <w:tc>
          <w:tcPr>
            <w:shd w:val="clear" w:fill="F3F6FA"/>
          </w:tcPr>
          <w:p w14:paraId="0010005E" w14:textId="0010005F"/>
        </w:tc>
        <w:tc>
          <w:tcPr>
            <w:shd w:val="clear" w:fill="F3F6FA"/>
          </w:tcPr>
          <w:p w14:paraId="00100060" w14:textId="00100061"/>
        </w:tc>
        <w:tc>
          <w:tcPr>
            <w:shd w:val="clear" w:fill="F3F6FA"/>
          </w:tcPr>
          <w:p w14:paraId="00100062" w14:textId="00100063"/>
        </w:tc>
      </w:tr>
      <w:tr>
        <w:trPr/>
        <w:tc>
          <w:p w14:paraId="00100064" w14:textId="00100065">
            <w:r>
              <w:t xml:space="preserve">IQ 五</w:t>
            </w:r>
          </w:p>
        </w:tc>
        <w:tc>
          <w:p w14:paraId="00100066" w14:textId="00100067">
            <w:r>
              <w:t xml:space="preserve">时间源、服务器时间、数据库时间偏差。</w:t>
            </w:r>
          </w:p>
        </w:tc>
        <w:tc>
          <w:p w14:paraId="00100068" w14:textId="00100069">
            <w:r>
              <w:t xml:space="preserve">时间受控且偏差在批准范围内。</w:t>
            </w:r>
          </w:p>
        </w:tc>
        <w:tc>
          <w:p w14:paraId="0010006A" w14:textId="0010006B"/>
        </w:tc>
        <w:tc>
          <w:p w14:paraId="0010006C" w14:textId="0010006D"/>
        </w:tc>
        <w:tc>
          <w:p w14:paraId="0010006E" w14:textId="0010006F"/>
        </w:tc>
      </w:tr>
      <w:tr>
        <w:trPr/>
        <w:tc>
          <w:tcPr>
            <w:shd w:val="clear" w:fill="F3F6FA"/>
          </w:tcPr>
          <w:p w14:paraId="00100070" w14:textId="00100071">
            <w:r>
              <w:t xml:space="preserve">IQ 六</w:t>
            </w:r>
          </w:p>
        </w:tc>
        <w:tc>
          <w:tcPr>
            <w:shd w:val="clear" w:fill="F3F6FA"/>
          </w:tcPr>
          <w:p w14:paraId="00100072" w14:textId="00100073">
            <w:r>
              <w:t xml:space="preserve">角色、菜单、租户和权限种子。</w:t>
            </w:r>
          </w:p>
        </w:tc>
        <w:tc>
          <w:tcPr>
            <w:shd w:val="clear" w:fill="F3F6FA"/>
          </w:tcPr>
          <w:p w14:paraId="00100074" w14:textId="00100075">
            <w:r>
              <w:t xml:space="preserve">与职责矩阵一致。</w:t>
            </w:r>
          </w:p>
        </w:tc>
        <w:tc>
          <w:tcPr>
            <w:shd w:val="clear" w:fill="F3F6FA"/>
          </w:tcPr>
          <w:p w14:paraId="00100076" w14:textId="00100077"/>
        </w:tc>
        <w:tc>
          <w:tcPr>
            <w:shd w:val="clear" w:fill="F3F6FA"/>
          </w:tcPr>
          <w:p w14:paraId="00100078" w14:textId="00100079"/>
        </w:tc>
        <w:tc>
          <w:tcPr>
            <w:shd w:val="clear" w:fill="F3F6FA"/>
          </w:tcPr>
          <w:p w14:paraId="0010007A" w14:textId="0010007B"/>
        </w:tc>
      </w:tr>
      <w:tr>
        <w:trPr/>
        <w:tc>
          <w:p w14:paraId="0010007C" w14:textId="0010007D">
            <w:r>
              <w:t xml:space="preserve">IQ 七</w:t>
            </w:r>
          </w:p>
        </w:tc>
        <w:tc>
          <w:p w14:paraId="0010007E" w14:textId="0010007F">
            <w:r>
              <w:t xml:space="preserve">备份策略、增量链、演练槽位。</w:t>
            </w:r>
          </w:p>
        </w:tc>
        <w:tc>
          <w:p w14:paraId="00100080" w14:textId="00100081">
            <w:r>
              <w:t xml:space="preserve">前置满足，否则阻断。</w:t>
            </w:r>
          </w:p>
        </w:tc>
        <w:tc>
          <w:p w14:paraId="00100082" w14:textId="00100083"/>
        </w:tc>
        <w:tc>
          <w:p w14:paraId="00100084" w14:textId="00100085"/>
        </w:tc>
        <w:tc>
          <w:p w14:paraId="00100086" w14:textId="00100087"/>
        </w:tc>
      </w:tr>
      <w:tr>
        <w:trPr/>
        <w:tc>
          <w:tcPr>
            <w:shd w:val="clear" w:fill="F3F6FA"/>
          </w:tcPr>
          <w:p w14:paraId="00100088" w14:textId="00100089">
            <w:r>
              <w:t xml:space="preserve">IQ 八</w:t>
            </w:r>
          </w:p>
        </w:tc>
        <w:tc>
          <w:tcPr>
            <w:shd w:val="clear" w:fill="F3F6FA"/>
          </w:tcPr>
          <w:p w14:paraId="0010008A" w14:textId="0010008B">
            <w:r>
              <w:t xml:space="preserve">GxP 审计启用和策略文件。</w:t>
            </w:r>
          </w:p>
        </w:tc>
        <w:tc>
          <w:tcPr>
            <w:shd w:val="clear" w:fill="F3F6FA"/>
          </w:tcPr>
          <w:p w14:paraId="0010008C" w14:textId="0010008D">
            <w:r>
              <w:t xml:space="preserve">审计启用且不可绕过。</w:t>
            </w:r>
          </w:p>
        </w:tc>
        <w:tc>
          <w:tcPr>
            <w:shd w:val="clear" w:fill="F3F6FA"/>
          </w:tcPr>
          <w:p w14:paraId="0010008E" w14:textId="0010008F"/>
        </w:tc>
        <w:tc>
          <w:tcPr>
            <w:shd w:val="clear" w:fill="F3F6FA"/>
          </w:tcPr>
          <w:p w14:paraId="00100090" w14:textId="00100091"/>
        </w:tc>
        <w:tc>
          <w:tcPr>
            <w:shd w:val="clear" w:fill="F3F6FA"/>
          </w:tcPr>
          <w:p w14:paraId="00100092" w14:textId="00100093"/>
        </w:tc>
      </w:tr>
    </w:tbl>
    <w:p w14:paraId="0010009A" w14:textId="0010009B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三、通过标准</w:t>
      </w:r>
    </w:p>
    <w:p w14:paraId="0010009C" w14:textId="0010009D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IQ 全部通过，或仅存在经 QA 批准且不影响 GxP 结论的限制项。缺少版本、权限、审计、备份、时间源或数据库确认时，不得进入正式 OQ。</w:t>
      </w:r>
    </w:p>
    <w:p w14:paraId="0010009E" w14:textId="0010009F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A0" w14:textId="001000A1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A2" w14:textId="001000EA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A4" w14:textId="001000EB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A6" w14:textId="001000EC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A8" w14:textId="001000ED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AA" w14:textId="001000EE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AC" w14:textId="001000EF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AE" w14:textId="001000AF">
            <w:r>
              <w:t xml:space="preserve">编写</w:t>
            </w:r>
          </w:p>
        </w:tc>
        <w:tc>
          <w:p w14:paraId="001000B0" w14:textId="001000B1"/>
        </w:tc>
        <w:tc>
          <w:p w14:paraId="001000B2" w14:textId="001000B3"/>
        </w:tc>
        <w:tc>
          <w:p w14:paraId="001000B4" w14:textId="001000B5"/>
        </w:tc>
        <w:tc>
          <w:p w14:paraId="001000B6" w14:textId="001000B7"/>
        </w:tc>
        <w:tc>
          <w:p w14:paraId="001000B8" w14:textId="001000B9"/>
        </w:tc>
      </w:tr>
      <w:tr>
        <w:trPr/>
        <w:tc>
          <w:tcPr>
            <w:shd w:val="clear" w:fill="F3F6FA"/>
          </w:tcPr>
          <w:p w14:paraId="001000BA" w14:textId="001000BB">
            <w:r>
              <w:t xml:space="preserve">业务审核</w:t>
            </w:r>
          </w:p>
        </w:tc>
        <w:tc>
          <w:tcPr>
            <w:shd w:val="clear" w:fill="F3F6FA"/>
          </w:tcPr>
          <w:p w14:paraId="001000BC" w14:textId="001000BD"/>
        </w:tc>
        <w:tc>
          <w:tcPr>
            <w:shd w:val="clear" w:fill="F3F6FA"/>
          </w:tcPr>
          <w:p w14:paraId="001000BE" w14:textId="001000BF"/>
        </w:tc>
        <w:tc>
          <w:tcPr>
            <w:shd w:val="clear" w:fill="F3F6FA"/>
          </w:tcPr>
          <w:p w14:paraId="001000C0" w14:textId="001000C1"/>
        </w:tc>
        <w:tc>
          <w:tcPr>
            <w:shd w:val="clear" w:fill="F3F6FA"/>
          </w:tcPr>
          <w:p w14:paraId="001000C2" w14:textId="001000C3"/>
        </w:tc>
        <w:tc>
          <w:tcPr>
            <w:shd w:val="clear" w:fill="F3F6FA"/>
          </w:tcPr>
          <w:p w14:paraId="001000C4" w14:textId="001000C5"/>
        </w:tc>
      </w:tr>
      <w:tr>
        <w:trPr/>
        <w:tc>
          <w:p w14:paraId="001000C6" w14:textId="001000C7">
            <w:r>
              <w:t xml:space="preserve">IT 审核</w:t>
            </w:r>
          </w:p>
        </w:tc>
        <w:tc>
          <w:p w14:paraId="001000C8" w14:textId="001000C9"/>
        </w:tc>
        <w:tc>
          <w:p w14:paraId="001000CA" w14:textId="001000CB"/>
        </w:tc>
        <w:tc>
          <w:p w14:paraId="001000CC" w14:textId="001000CD"/>
        </w:tc>
        <w:tc>
          <w:p w14:paraId="001000CE" w14:textId="001000CF"/>
        </w:tc>
        <w:tc>
          <w:p w14:paraId="001000D0" w14:textId="001000D1"/>
        </w:tc>
      </w:tr>
      <w:tr>
        <w:trPr/>
        <w:tc>
          <w:tcPr>
            <w:shd w:val="clear" w:fill="F3F6FA"/>
          </w:tcPr>
          <w:p w14:paraId="001000D2" w14:textId="001000D3">
            <w:r>
              <w:t xml:space="preserve">QA 审核</w:t>
            </w:r>
          </w:p>
        </w:tc>
        <w:tc>
          <w:tcPr>
            <w:shd w:val="clear" w:fill="F3F6FA"/>
          </w:tcPr>
          <w:p w14:paraId="001000D4" w14:textId="001000D5"/>
        </w:tc>
        <w:tc>
          <w:tcPr>
            <w:shd w:val="clear" w:fill="F3F6FA"/>
          </w:tcPr>
          <w:p w14:paraId="001000D6" w14:textId="001000D7"/>
        </w:tc>
        <w:tc>
          <w:tcPr>
            <w:shd w:val="clear" w:fill="F3F6FA"/>
          </w:tcPr>
          <w:p w14:paraId="001000D8" w14:textId="001000D9"/>
        </w:tc>
        <w:tc>
          <w:tcPr>
            <w:shd w:val="clear" w:fill="F3F6FA"/>
          </w:tcPr>
          <w:p w14:paraId="001000DA" w14:textId="001000DB"/>
        </w:tc>
        <w:tc>
          <w:tcPr>
            <w:shd w:val="clear" w:fill="F3F6FA"/>
          </w:tcPr>
          <w:p w14:paraId="001000DC" w14:textId="001000DD"/>
        </w:tc>
      </w:tr>
      <w:tr>
        <w:trPr/>
        <w:tc>
          <w:p w14:paraId="001000DE" w14:textId="001000DF">
            <w:r>
              <w:t xml:space="preserve">批准</w:t>
            </w:r>
          </w:p>
        </w:tc>
        <w:tc>
          <w:p w14:paraId="001000E0" w14:textId="001000E1"/>
        </w:tc>
        <w:tc>
          <w:p w14:paraId="001000E2" w14:textId="001000E3"/>
        </w:tc>
        <w:tc>
          <w:p w14:paraId="001000E4" w14:textId="001000E5"/>
        </w:tc>
        <w:tc>
          <w:p w14:paraId="001000E6" w14:textId="001000E7"/>
        </w:tc>
        <w:tc>
          <w:p w14:paraId="001000E8" w14:textId="001000E9"/>
        </w:tc>
      </w:tr>
    </w:tbl>
    <w:sectPr>
      <w:footerReference w:type="default" r:id="R1bce0adfbeeb4064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F0" w14:textId="001000F2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96f478a39814352" /><Relationship Type="http://schemas.openxmlformats.org/officeDocument/2006/relationships/styles" Target="/word/styles.xml" Id="R215a2fe0c7864c3e" /><Relationship Type="http://schemas.openxmlformats.org/officeDocument/2006/relationships/theme" Target="/word/theme/theme1.xml" Id="Rc0eee11ca9424a18" /><Relationship Type="http://schemas.openxmlformats.org/officeDocument/2006/relationships/numbering" Target="/word/numbering.xml" Id="Rbb0ad4c821b14128" /><Relationship Type="http://schemas.openxmlformats.org/officeDocument/2006/relationships/footer" Target="/word/footer1.xml" Id="R1bce0adfbeeb40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2026-09-08T16:37:18.0000000Z</dcterms:created>
  <lastModifiedBy>OfficeCLI</lastModifiedBy>
  <dcterms:modified xsi:type="dcterms:W3CDTF">2026-09-08T16:37:18.0000000Z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IQ 安装确认方案与记录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2026-09-08T16:37:31Z</vt:lpwstr>
  </op:property>
</op:Properties>
</file>