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4d6486f77442bb" /><Relationship Type="http://schemas.openxmlformats.org/package/2006/relationships/metadata/core-properties" Target="/docProps/core.xml" Id="R6cd4bd8a82d847d7" /><Relationship Type="http://schemas.openxmlformats.org/officeDocument/2006/relationships/extended-properties" Target="/docProps/app.xml" Id="R94360ee86b2444e6" /><Relationship Type="http://schemas.openxmlformats.org/officeDocument/2006/relationships/custom-properties" Target="/docProps/custom.xml" Id="Ra94c249f9c39458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持续验证、变更再验证与退役归档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十三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系统所有者、IT、QA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一、周期回顾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周期回顾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24" w14:textId="0010004C">
            <w:r>
              <w:rPr>
                <w:b/>
                <w:color w:val="FFFFFF"/>
              </w:rPr>
              <w:t xml:space="preserve">范围</w:t>
            </w:r>
          </w:p>
        </w:tc>
        <w:tc>
          <w:tcPr>
            <w:shd w:val="clear" w:fill="1F4E79"/>
          </w:tcPr>
          <w:p w14:paraId="00100026" w14:textId="0010004D">
            <w:r>
              <w:rPr>
                <w:b/>
                <w:color w:val="FFFFFF"/>
              </w:rPr>
              <w:t xml:space="preserve">最低频率</w:t>
            </w:r>
          </w:p>
        </w:tc>
        <w:tc>
          <w:tcPr>
            <w:shd w:val="clear" w:fill="1F4E79"/>
          </w:tcPr>
          <w:p w14:paraId="00100028" w14:textId="0010004E">
            <w:r>
              <w:rPr>
                <w:b/>
                <w:color w:val="FFFFFF"/>
              </w:rPr>
              <w:t xml:space="preserve">输入证据</w:t>
            </w:r>
          </w:p>
        </w:tc>
        <w:tc>
          <w:tcPr>
            <w:shd w:val="clear" w:fill="1F4E79"/>
          </w:tcPr>
          <w:p w14:paraId="0010002A" w14:textId="0010004F">
            <w:r>
              <w:rPr>
                <w:b/>
                <w:color w:val="FFFFFF"/>
              </w:rPr>
              <w:t xml:space="preserve">输出</w:t>
            </w:r>
          </w:p>
        </w:tc>
      </w:tr>
      <w:tr>
        <w:trPr/>
        <w:tc>
          <w:p w14:paraId="0010002C" w14:textId="0010002D">
            <w:r>
              <w:t xml:space="preserve">总体 CSV 状态</w:t>
            </w:r>
          </w:p>
        </w:tc>
        <w:tc>
          <w:p w14:paraId="0010002E" w14:textId="0010002F">
            <w:r>
              <w:t xml:space="preserve">每年至少一次。</w:t>
            </w:r>
          </w:p>
        </w:tc>
        <w:tc>
          <w:p w14:paraId="00100030" w14:textId="00100031">
            <w:r>
              <w:t xml:space="preserve">变更、偏差、测试、培训和供应商资料。</w:t>
            </w:r>
          </w:p>
        </w:tc>
        <w:tc>
          <w:p w14:paraId="00100032" w14:textId="00100033">
            <w:r>
              <w:t xml:space="preserve">周期回顾报告和 QA 批准。</w:t>
            </w:r>
          </w:p>
        </w:tc>
      </w:tr>
      <w:tr>
        <w:trPr/>
        <w:tc>
          <w:tcPr>
            <w:shd w:val="clear" w:fill="F3F6FA"/>
          </w:tcPr>
          <w:p w14:paraId="00100034" w14:textId="00100035">
            <w:r>
              <w:t xml:space="preserve">电子签名和审计追踪</w:t>
            </w:r>
          </w:p>
        </w:tc>
        <w:tc>
          <w:tcPr>
            <w:shd w:val="clear" w:fill="F3F6FA"/>
          </w:tcPr>
          <w:p w14:paraId="00100036" w14:textId="00100037">
            <w:r>
              <w:t xml:space="preserve">每季度或高风险事件后。</w:t>
            </w:r>
          </w:p>
        </w:tc>
        <w:tc>
          <w:tcPr>
            <w:shd w:val="clear" w:fill="F3F6FA"/>
          </w:tcPr>
          <w:p w14:paraId="00100038" w14:textId="00100039">
            <w:r>
              <w:t xml:space="preserve">账户、签名、审计、时间和完整性抽样。</w:t>
            </w:r>
          </w:p>
        </w:tc>
        <w:tc>
          <w:tcPr>
            <w:shd w:val="clear" w:fill="F3F6FA"/>
          </w:tcPr>
          <w:p w14:paraId="0010003A" w14:textId="0010003B">
            <w:r>
              <w:t xml:space="preserve">发现项、CAPA 和复核记录。</w:t>
            </w:r>
          </w:p>
        </w:tc>
      </w:tr>
      <w:tr>
        <w:trPr/>
        <w:tc>
          <w:p w14:paraId="0010003C" w14:textId="0010003D">
            <w:r>
              <w:t xml:space="preserve">备份恢复</w:t>
            </w:r>
          </w:p>
        </w:tc>
        <w:tc>
          <w:p w14:paraId="0010003E" w14:textId="0010003F">
            <w:r>
              <w:t xml:space="preserve">每年至少一次真实演练。</w:t>
            </w:r>
          </w:p>
        </w:tc>
        <w:tc>
          <w:p w14:paraId="00100040" w14:textId="00100041">
            <w:r>
              <w:t xml:space="preserve">全量、增量、对象和恢复槽位记录。</w:t>
            </w:r>
          </w:p>
        </w:tc>
        <w:tc>
          <w:p w14:paraId="00100042" w14:textId="00100043">
            <w:r>
              <w:t xml:space="preserve">恢复演练报告。</w:t>
            </w:r>
          </w:p>
        </w:tc>
      </w:tr>
      <w:tr>
        <w:trPr/>
        <w:tc>
          <w:tcPr>
            <w:shd w:val="clear" w:fill="F3F6FA"/>
          </w:tcPr>
          <w:p w14:paraId="00100044" w14:textId="00100045">
            <w:r>
              <w:t xml:space="preserve">接口和供应商</w:t>
            </w:r>
          </w:p>
        </w:tc>
        <w:tc>
          <w:tcPr>
            <w:shd w:val="clear" w:fill="F3F6FA"/>
          </w:tcPr>
          <w:p w14:paraId="00100046" w14:textId="00100047">
            <w:r>
              <w:t xml:space="preserve">每年至少一次，外部升级后立即评估。</w:t>
            </w:r>
          </w:p>
        </w:tc>
        <w:tc>
          <w:tcPr>
            <w:shd w:val="clear" w:fill="F3F6FA"/>
          </w:tcPr>
          <w:p w14:paraId="00100048" w14:textId="00100049">
            <w:r>
              <w:t xml:space="preserve">接口对账、失败记录和供应商变更通知。</w:t>
            </w:r>
          </w:p>
        </w:tc>
        <w:tc>
          <w:tcPr>
            <w:shd w:val="clear" w:fill="F3F6FA"/>
          </w:tcPr>
          <w:p w14:paraId="0010004A" w14:textId="0010004B">
            <w:r>
              <w:t xml:space="preserve">再验证计划。</w:t>
            </w:r>
          </w:p>
        </w:tc>
      </w:tr>
    </w:tbl>
    <w:p w14:paraId="00100050" w14:textId="00100051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二、变更再验证</w:t>
      </w:r>
    </w:p>
    <w:p w14:paraId="00100052" w14:textId="00100053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软件、配置、权限、数据模型、接口、备份、时间源、报表和模板解析发生变更后，应执行影响评估并按风险选择 IQ、OQ、PQ、接口、性能或安全验证。高风险变更未经 QA 批准不得发布为 GxP 可用版本。</w:t>
      </w:r>
    </w:p>
    <w:p w14:paraId="00100054" w14:textId="00100055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三、退役归档</w:t>
      </w:r>
    </w:p>
    <w:p w14:paraId="00100056" w14:textId="00100057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系统或模块退役时，应盘点 CSV 文档、电子记录、签名、审计、备份、接口日志、培训、变更、偏差和周期回顾资料，验证归档可读、可检索、哈希一致并经 QA 批准。</w:t>
      </w:r>
    </w:p>
    <w:p w14:paraId="00100058" w14:textId="00100059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5A" w14:textId="0010005B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5C" w14:textId="001000A4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5E" w14:textId="001000A5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60" w14:textId="001000A6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62" w14:textId="001000A7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64" w14:textId="001000A8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66" w14:textId="001000A9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68" w14:textId="00100069">
            <w:r>
              <w:t xml:space="preserve">编写</w:t>
            </w:r>
          </w:p>
        </w:tc>
        <w:tc>
          <w:p w14:paraId="0010006A" w14:textId="0010006B"/>
        </w:tc>
        <w:tc>
          <w:p w14:paraId="0010006C" w14:textId="0010006D"/>
        </w:tc>
        <w:tc>
          <w:p w14:paraId="0010006E" w14:textId="0010006F"/>
        </w:tc>
        <w:tc>
          <w:p w14:paraId="00100070" w14:textId="00100071"/>
        </w:tc>
        <w:tc>
          <w:p w14:paraId="00100072" w14:textId="00100073"/>
        </w:tc>
      </w:tr>
      <w:tr>
        <w:trPr/>
        <w:tc>
          <w:tcPr>
            <w:shd w:val="clear" w:fill="F3F6FA"/>
          </w:tcPr>
          <w:p w14:paraId="00100074" w14:textId="00100075">
            <w:r>
              <w:t xml:space="preserve">业务审核</w:t>
            </w:r>
          </w:p>
        </w:tc>
        <w:tc>
          <w:tcPr>
            <w:shd w:val="clear" w:fill="F3F6FA"/>
          </w:tcPr>
          <w:p w14:paraId="00100076" w14:textId="00100077"/>
        </w:tc>
        <w:tc>
          <w:tcPr>
            <w:shd w:val="clear" w:fill="F3F6FA"/>
          </w:tcPr>
          <w:p w14:paraId="00100078" w14:textId="00100079"/>
        </w:tc>
        <w:tc>
          <w:tcPr>
            <w:shd w:val="clear" w:fill="F3F6FA"/>
          </w:tcPr>
          <w:p w14:paraId="0010007A" w14:textId="0010007B"/>
        </w:tc>
        <w:tc>
          <w:tcPr>
            <w:shd w:val="clear" w:fill="F3F6FA"/>
          </w:tcPr>
          <w:p w14:paraId="0010007C" w14:textId="0010007D"/>
        </w:tc>
        <w:tc>
          <w:tcPr>
            <w:shd w:val="clear" w:fill="F3F6FA"/>
          </w:tcPr>
          <w:p w14:paraId="0010007E" w14:textId="0010007F"/>
        </w:tc>
      </w:tr>
      <w:tr>
        <w:trPr/>
        <w:tc>
          <w:p w14:paraId="00100080" w14:textId="00100081">
            <w:r>
              <w:t xml:space="preserve">IT 审核</w:t>
            </w:r>
          </w:p>
        </w:tc>
        <w:tc>
          <w:p w14:paraId="00100082" w14:textId="00100083"/>
        </w:tc>
        <w:tc>
          <w:p w14:paraId="00100084" w14:textId="00100085"/>
        </w:tc>
        <w:tc>
          <w:p w14:paraId="00100086" w14:textId="00100087"/>
        </w:tc>
        <w:tc>
          <w:p w14:paraId="00100088" w14:textId="00100089"/>
        </w:tc>
        <w:tc>
          <w:p w14:paraId="0010008A" w14:textId="0010008B"/>
        </w:tc>
      </w:tr>
      <w:tr>
        <w:trPr/>
        <w:tc>
          <w:tcPr>
            <w:shd w:val="clear" w:fill="F3F6FA"/>
          </w:tcPr>
          <w:p w14:paraId="0010008C" w14:textId="0010008D">
            <w:r>
              <w:t xml:space="preserve">QA 审核</w:t>
            </w:r>
          </w:p>
        </w:tc>
        <w:tc>
          <w:tcPr>
            <w:shd w:val="clear" w:fill="F3F6FA"/>
          </w:tcPr>
          <w:p w14:paraId="0010008E" w14:textId="0010008F"/>
        </w:tc>
        <w:tc>
          <w:tcPr>
            <w:shd w:val="clear" w:fill="F3F6FA"/>
          </w:tcPr>
          <w:p w14:paraId="00100090" w14:textId="00100091"/>
        </w:tc>
        <w:tc>
          <w:tcPr>
            <w:shd w:val="clear" w:fill="F3F6FA"/>
          </w:tcPr>
          <w:p w14:paraId="00100092" w14:textId="00100093"/>
        </w:tc>
        <w:tc>
          <w:tcPr>
            <w:shd w:val="clear" w:fill="F3F6FA"/>
          </w:tcPr>
          <w:p w14:paraId="00100094" w14:textId="00100095"/>
        </w:tc>
        <w:tc>
          <w:tcPr>
            <w:shd w:val="clear" w:fill="F3F6FA"/>
          </w:tcPr>
          <w:p w14:paraId="00100096" w14:textId="00100097"/>
        </w:tc>
      </w:tr>
      <w:tr>
        <w:trPr/>
        <w:tc>
          <w:p w14:paraId="00100098" w14:textId="00100099">
            <w:r>
              <w:t xml:space="preserve">批准</w:t>
            </w:r>
          </w:p>
        </w:tc>
        <w:tc>
          <w:p w14:paraId="0010009A" w14:textId="0010009B"/>
        </w:tc>
        <w:tc>
          <w:p w14:paraId="0010009C" w14:textId="0010009D"/>
        </w:tc>
        <w:tc>
          <w:p w14:paraId="0010009E" w14:textId="0010009F"/>
        </w:tc>
        <w:tc>
          <w:p w14:paraId="001000A0" w14:textId="001000A1"/>
        </w:tc>
        <w:tc>
          <w:p w14:paraId="001000A2" w14:textId="001000A3"/>
        </w:tc>
      </w:tr>
    </w:tbl>
    <w:sectPr>
      <w:footerReference w:type="default" r:id="R008479e044af44c7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AA" w14:textId="001000AC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68f77986e1b43b1" /><Relationship Type="http://schemas.openxmlformats.org/officeDocument/2006/relationships/styles" Target="/word/styles.xml" Id="R5cb9e98cd0a14a40" /><Relationship Type="http://schemas.openxmlformats.org/officeDocument/2006/relationships/theme" Target="/word/theme/theme1.xml" Id="Rf866e420c1e14645" /><Relationship Type="http://schemas.openxmlformats.org/officeDocument/2006/relationships/numbering" Target="/word/numbering.xml" Id="Rd6a7230ca8124fab" /><Relationship Type="http://schemas.openxmlformats.org/officeDocument/2006/relationships/footer" Target="/word/footer1.xml" Id="R008479e044af44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2026-09-08T16:40:26.0000000Z</dcterms:created>
  <lastModifiedBy>OfficeCLI</lastModifiedBy>
  <dcterms:modified xsi:type="dcterms:W3CDTF">2026-09-08T16:40:26.0000000Z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持续验证、变更再验证与退役归档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2026-09-08T16:40:33Z</vt:lpwstr>
  </op:property>
</op:Properties>
</file>