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 w:after="240"/>
        <w:jc w:val="center"/>
      </w:pPr>
      <w:r>
        <w:rPr>
          <w:rFonts w:ascii="Calibri" w:hAnsi="Calibri" w:eastAsia="Microsoft YaHei"/>
          <w:b/>
          <w:color w:val="0B2545"/>
          <w:sz w:val="52"/>
        </w:rPr>
        <w:t>EDHR 批记录系统详细设计</w:t>
      </w:r>
    </w:p>
    <w:p>
      <w:pPr>
        <w:spacing w:after="480"/>
        <w:jc w:val="center"/>
      </w:pPr>
      <w:r>
        <w:rPr>
          <w:rFonts w:ascii="Calibri" w:hAnsi="Calibri" w:eastAsia="Microsoft YaHei"/>
          <w:color w:val="2E74B5"/>
          <w:sz w:val="30"/>
        </w:rPr>
        <w:t>由概要设计落到当前接口、服务、表结构与页面实现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文档类型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详细设计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生成方式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从合并版 EDHR 批记录系统设计文档按章节拆分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逻辑关系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需求设计 -&gt; 概要设计 -&gt; 详细设计；当前文件为其中一个独立设计文档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源文件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EDHR_Batch_Record_System_Design.docx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生成日期</w:t>
            </w:r>
          </w:p>
        </w:tc>
        <w:tc>
          <w:tcPr>
            <w:tcW w:type="dxa" w:w="4680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2026-07-28</w:t>
            </w:r>
          </w:p>
        </w:tc>
      </w:tr>
    </w:tbl>
    <w:p>
      <w:r>
        <w:br w:type="page"/>
      </w:r>
    </w:p>
    <w:p>
      <w:pPr>
        <w:pStyle w:val="Heading1"/>
        <w:spacing w:before="240" w:after="120" w:line="264" w:lineRule="auto"/>
      </w:pPr>
      <w:r>
        <w:rPr>
          <w:rFonts w:ascii="Calibri" w:hAnsi="Calibri" w:eastAsia="Microsoft YaHei"/>
          <w:b/>
          <w:color w:val="2E74B5"/>
          <w:sz w:val="32"/>
        </w:rPr>
        <w:t>0. 文档说明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本文档不是从零假设的未来方案，而是根据当前 IntRuoyi 项目中已经存在的 EDHR 批记录系统进行反向整理。因此文档中的需求设计、概要设计和详细设计均以现有代码、接口、数据表、规则门禁和历史验证证据为边界。</w:t>
      </w:r>
    </w:p>
    <w:p>
      <w:pPr>
        <w:spacing w:before="0" w:after="120" w:line="264" w:lineRule="auto"/>
      </w:pPr>
      <w:r>
        <w:rPr>
          <w:rFonts w:ascii="Calibri" w:hAnsi="Calibri" w:eastAsia="Microsoft YaHei"/>
        </w:rPr>
        <w:t>为了保持设计文档的工程逻辑，本文仍按正常推导顺序呈现：需求设计定义用户价值、业务范围和验收口径；概要设计把需求拆成模块、流程和数据边界；详细设计再落到当前控制器、服务、前端页面、接口和数据表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设计层级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倒推方式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交付重点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需求设计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从现有功能、规则和真实验收门禁抽象用户目标与业务规则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范围、角色、流程、功能需求、业务规则、验收标准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概要设计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把需求映射为系统模块、接口分组、数据域和关键流程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系统架构、模块边界、核心流程、数据分组、异常和权限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详细设计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把概要模块落到当前源代码、API、表结构、页面和关键算法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控制器、服务、表、前端适配、状态机、哈希审计、验证策略</w:t>
            </w:r>
          </w:p>
        </w:tc>
      </w:tr>
    </w:tbl>
    <w:p/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0.1 证据来源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证据类型</w:t>
            </w:r>
          </w:p>
        </w:tc>
        <w:tc>
          <w:tcPr>
            <w:tcW w:type="dxa" w:w="4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证据路径或来源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用于支撑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项目规则</w:t>
            </w:r>
          </w:p>
        </w:tc>
        <w:tc>
          <w:tcPr>
            <w:tcW w:type="dxa" w:w="4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AGENTS.md、docs/backend-development.md、docs/frontend-development.md、docs/e2e-rules.md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术语契约、无 fallback、EDHR 运行态门禁、E2E 真实路径要求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后端合约</w:t>
            </w:r>
          </w:p>
        </w:tc>
        <w:tc>
          <w:tcPr>
            <w:tcW w:type="dxa" w:w="4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IntRuoyiBackend/docs/edhr/existing-edhr-contract.md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后端对象、接口、权限、数据对象和禁止改写边界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前端合约</w:t>
            </w:r>
          </w:p>
        </w:tc>
        <w:tc>
          <w:tcPr>
            <w:tcW w:type="dxa" w:w="4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IntRuoyiFronted/docs/edhr/existing-edhr-frontend-contract.md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前端 API 适配层、页面入口和权限门禁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源代码抽取</w:t>
            </w:r>
          </w:p>
        </w:tc>
        <w:tc>
          <w:tcPr>
            <w:tcW w:type="dxa" w:w="4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yudao-module-mes controller/service/dal、IntRuoyiFronted src/api 与 src/views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详细接口、服务模块、数据模型和页面入口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历史任务证据</w:t>
            </w:r>
          </w:p>
        </w:tc>
        <w:tc>
          <w:tcPr>
            <w:tcW w:type="dxa" w:w="4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doc/tasks/20260724-20260728 相关 EDHR/批记录任务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真实修复原因、验收命令、业务边界和回归门禁</w:t>
            </w:r>
          </w:p>
        </w:tc>
      </w:tr>
    </w:tbl>
    <w:p/>
    <w:p>
      <w:pPr>
        <w:pStyle w:val="Heading1"/>
        <w:spacing w:before="240" w:after="120" w:line="264" w:lineRule="auto"/>
      </w:pPr>
      <w:r>
        <w:rPr>
          <w:rFonts w:ascii="Calibri" w:hAnsi="Calibri" w:eastAsia="Microsoft YaHei"/>
          <w:b/>
          <w:color w:val="2E74B5"/>
          <w:sz w:val="32"/>
        </w:rPr>
        <w:t>3. 详细设计</w:t>
      </w:r>
    </w:p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3.1 后端控制器与接口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控制器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基础路径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关键接口/职责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MesProBatchRecordReportController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/mes/pro/batch-record-report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import、recognize-uploaded、preflight、version-approval、designer/edit-path、cell-rules、signature-cell-markers。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MesProBatchRecordExecutionController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/mes/pro/batch-record-execution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entry-context、open-or-create-by-context、page/get、save-draft、submit、cosign、approve/reject、tracking、signature-page。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MesProEdhrBatchExecutionController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/mes/pro/edhr-batch-execution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page/get/workbench、work-order-route-options、open-or-create、task/open、task/preview、close、quality-reject、review-timeline。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MesProEdhrWorkTaskController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/mes/pro/edhr-work-task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my-page、done-page、candidate-todo-page、stats、route rules、candidate-signature、fill-task/reassign。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MesProBatchRecordExecutionFieldAuditController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/mes/pro/batch-record-execution/field-audit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save-changes、page/detail、responsibility、verify-chain、export。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MesProBatchRecordCellLinkController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/mes/pro/batch-record-cell-link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workbench-context、form-cells、rules/save、prefill。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MesProEdhrRecordChangeController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/mes/pro/edhr-change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void/reopen/supplement request/approve、void-batch approval-resolution、withdraw、page/get。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MesProEdhrReleaseController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/mes/pro/edhr-release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release page/get/precheck/submit/approve/reject/withdraw、check-item、event。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MesProEdhrOperationAuditController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/mes/pro/edhr-operation-audit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operation audit page/detail。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MesProEdhrPermissionScopeController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/mes/pro/edhr-permission-scopes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save/get/evaluate 对象权限范围。</w:t>
            </w:r>
          </w:p>
        </w:tc>
      </w:tr>
    </w:tbl>
    <w:p/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3.2 后端服务设计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服务/组件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职责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关键约束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MesProBatchRecordReportService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导入批记录、识别表格、构造 Jimu JSON、保存报表和版本。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不得按文件名/工序名硬编码模板特例。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MesProBatchRecordTemplateParser / Recognizer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解析 Word 表格、识别 Route A-F、处理 packed 物料矩阵和说明区。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真实 fixture 缺失时阻塞，不用合成文件冒充。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MesProBatchRecordReportJsonBuilder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生成 fillForm、edhrCellRule、签名组件和布局 JSON。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组件类型以语义优先，签名日期不得退化成普通文本。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MesProEdhrBatchExecutionService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批次创建、详情、任务生成、任务打开、关闭、驳回、终态保护。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当前配置存在时严格校验当前绑定，禁止静默回退。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MesProBatchRecordExecutionService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传统执行记录创建/打开、草稿、提交、审批和追踪上下文。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active 查询按 batchExecutionId + taskId 隔离。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MesProBatchRecordExecutionFieldAuditService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字段保存、哈希、责任归因、签名和附件变更审计。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所有写值必须进入审计链。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MesProBatchRecordCellLinkService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链接规则、来源字段、目标单元格和预填计算。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自动落库幂等键使用稳定 64 位 SHA-256 十六进制。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MesProEdhrWorkTaskService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个人待办、统计、候选任务、任务取消和权限撤销。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终态批次从源头过滤，openTask 继续阻断。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MesProEdhrBatchVoidEffectService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作废生效、清上下文、失效归档、取消活动任务。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作废与任务取消事务一致。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MesProEdhrOperationAuditService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记录操作动作、对象范围、结果、失败原因和证据哈希。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新增写操作不得绕过。</w:t>
            </w:r>
          </w:p>
        </w:tc>
      </w:tr>
    </w:tbl>
    <w:p/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3.3 前端页面与 API 适配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前端区域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页面/文件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职责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批记录管理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batchrecordformlist/index.vue、BatchRecordCellRulesConfirmDialog.vue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批记录列表、规则确认、打开/编辑/填写入口和错误归属。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单元格链接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batchrecordcelllink/index.vue、src/api/mes/pro/batchrecordcelllink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链接工作台、来源/目标单元格、规则保存和预填预览。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批次执行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edhr-batch/BatchExecutionListPage.vue、BatchExecutionDetailPage.vue、BatchRecordHistoryPage.vue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批次列表、详情、右侧任务卡、历史批记录和任务动作。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批次模板模拟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BatchExecutionTemplatePage.vue、BatchExecutionTemplateSimulatePage.vue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批次模板查看和模拟填报。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执行填写器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edhr/ExecutionPage.vue、ExecutionRenderer.vue、Editable/ReadonlyForm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当前填写、只读追踪、模板视口和填写器渲染。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工作台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edhr-work-task/WorkTaskBoardPage.vue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个人待办、候选任务、统计、处理按钮。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审计追踪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FieldAuditPage、DomainTracePage、OperationAuditPage、FormTracePage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字段审计、域追溯、操作审计、表单追踪。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变更与放行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RecordChangePage、UnifiedChangePage、ReleasePage、FlowInterventionPage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作废、重开、补录、统一变更、放行和流程干预。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交付扩展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DhrTemplatePage、InitBatchPage、TravelerPage、LabelPrintQueuePage、ValidationPage、DeploymentPage、DeliveryPage</w:t>
            </w:r>
          </w:p>
        </w:tc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模板生命周期、初始化、流转单、标签、验证、部署和交付证据。</w:t>
            </w:r>
          </w:p>
        </w:tc>
      </w:tr>
    </w:tbl>
    <w:p/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3.4 数据表详细分组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分组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代表表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字段/关系重点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批记录报表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mes_pro_batch_record_report、definition、template、version、version_migration_item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报表 ID、版本 ID、Jimu JSON、治理项、发布状态和识别路线。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执行主链路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mes_pro_batch_record_execution、signature、archive、archive_event、attachment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executionId、cell_values_json、状态、签名、归档和附件证据。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字段审计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field_audit_batch、field_audit_item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revision、head hash、idempotency key、变更字段和责任归因。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批次执行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mes_pro_edhr_batch_execution、batch_execution_task、batch_dossier_item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batchExecutionId、routeSnapshotJson、taskId、batchRecordReportId、排序。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工作任务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mes_pro_edhr_work_task、assignment_rule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负责人、候选快照、状态、完成时间、取消原因和统计查询。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配置绑定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mes_pro_route_flow_process_batch_record、mes_pro_route_use_process_batch_record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逐工序正式批记录绑定，不能由 formBindings 替代。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权限审计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mes_pro_edhr_permission_scope、permission_rule、operation_audit_event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对象类型、对象 ID、能力矩阵、操作结果和失败原因。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变更放行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mes_pro_edhr_record_change_event、release_transaction、release_check_item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作废/重开/补录、放行事务、检查项和事件流。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外围模块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recordbook、form_instance、traveler、label、print、validation、deployment、delivery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补充表单、记录本、流转、标签打印、验证和交付证据。</w:t>
            </w:r>
          </w:p>
        </w:tc>
      </w:tr>
    </w:tbl>
    <w:p/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3.5 关键算法与事务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主题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详细设计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失败处理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Word 表格解析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共享 parser/calibrator/row-type 规则识别表格、续行、说明区、签名日期和业务列。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缺真实源 DOC 或 RED 不能复现时阻塞；不得硬编码模板特例。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版本治理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运行态打开前校验 batchRecordVersionId、APPROVED、CELL_RULE_RECONCILED、blocking item 和未确认单元格。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缺治理证据时继续阻断，不自动标记确认。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路线绑定快照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新建/返工批次先检查当前 BATCH 工序配置，必要时使用已发布快照；DRAFT 显式保存读写对称。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当前绑定陈旧必须 fail-fast，禁止发布快照通用 fallback。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任务打开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openTask 校验批次状态、任务责任、工作任务快照，绑定或创建传统执行记录。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终态、无责任、无上下文、active execution 不隔离时阻断。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字段审计保存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saveChanges 计算变更、生成 batch/item、更新 cell_values_json/hash/revision/head hash。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哈希基线冲突、幂等冲突、字段不存在则回滚。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单元格链接落库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创建/打开执行记录时按规则读取来源字段，目标为空才写入，并记录审计。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来源缺失、配置冲突、字段审计证据缺失时阻断。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作废生效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审批或 DIRECT 生效后设置 VOIDED、清上下文、失效归档、取消活动任务。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任务取消失败则作废事务回滚。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归档生成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根据执行记录和批次快照生成可下载归档并记录事件。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缺模板、缺证据或生成失败不得返回默认成功。</w:t>
            </w:r>
          </w:p>
        </w:tc>
      </w:tr>
    </w:tbl>
    <w:p/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3.6 错误模型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</w:rPr>
        <w:t>配置类错误：缺正式批记录绑定、绑定归属错误、快照缺失、附件负责人 JSON 类型错误，均阻断当前流程。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</w:rPr>
        <w:t>权限类错误：菜单权限、对象权限、运行态责任人不匹配，前端不得隐藏为成功。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</w:rPr>
        <w:t>状态类错误：终态批次、非当前活动任务、已作废记录不能进入填写路径。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</w:rPr>
        <w:t>数据类错误：来源字段为空、目标单元格不存在、字段审计哈希冲突、幂等键冲突，事务回滚并返回明确错误。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</w:rPr>
        <w:t>外部依赖错误：BPM、文件、Jimu、数据库、真实 E2E 夹具不可用时记录阻塞，不用 mock 或默认空数据替代。</w:t>
      </w:r>
    </w:p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3.7 需求-概要-详细追溯矩阵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需求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概要模块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详细落点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验证建议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REQ-01/02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批记录模板与版本模块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BatchRecordReportController、VersionGovernanceController、ReportJsonBuilder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导入/版本治理后端测试 + 真实模板页面打开。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REQ-03/04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工艺路线绑定模块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route flow config、batchRecordFormNames、formBindings 独立链路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三类配置独立静态合同 + 路线读回测试。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REQ-05/06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批次执行与工作任务模块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EdhrBatchExecutionController、WorkTaskController、BatchExecutionDetailPage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批次创建/打开、工作台待办、终态过滤 E2E。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REQ-07/08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填写与审计模块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BatchRecordExecutionController、FieldAuditService、ExecutionPage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保存/提交/审批 + verify-chain。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REQ-09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单元格链接模块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BatchRecordCellLinkController、CellLinkService、FieldAuditService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创建/打开自动落库、重复打开幂等、目标人工值不覆盖。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REQ-10/14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附件与归档模块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AttachmentController、ArchiveController、ProtectedStorage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附件负责人快照、归档生成/下载、归档失效。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REQ-12/13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质量变更与放行模块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RecordChangeController、BatchVoidEffectService、ReleaseController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BPM 作废真实 E2E、任务取消、放行负责人来源。</w:t>
            </w:r>
          </w:p>
        </w:tc>
      </w:tr>
      <w:tr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REQ-15/16</w:t>
            </w:r>
          </w:p>
        </w:tc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权限审计与交付模块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PermissionScopeController、OperationAuditController、Validation/Deployment/Delivery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权限评估、审计查询、验证包和交付证据结构检查。</w:t>
            </w:r>
          </w:p>
        </w:tc>
      </w:tr>
    </w:tbl>
    <w:p/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3.8 开放问题与阻塞边界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类型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问题/边界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处理原则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真实库差异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本文读取代码、SQL 和历史证据，未对当前真实库 DESCRIBE。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后续 schema、菜单、租户或数据修复前必须真实库核验。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历史数据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历史 VOIDED 批次若残留活动任务，不在本文中自动修复。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单独发起数据治理任务，记录原值、影响行数和回滚。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运行态验证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本文未启动 8081/48081 服务，也未执行真实 E2E。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后续变更必须按 E2E 规则使用真实页面和任务自有数据。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外部系统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BPM、Jimu、文件服务、金蝶/工单同步等依赖未在本文中实测。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集成验证失败时 fail-fast，不允许静默降级。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文档反推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需求是从当前系统倒推，不代表新增产品承诺。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缺证据事项在设计中保持开放问题，不写成已交付能力。</w:t>
            </w:r>
          </w:p>
        </w:tc>
      </w:tr>
    </w:tbl>
    <w:p/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spacing w:before="240" w:after="120" w:line="264" w:lineRule="auto"/>
      </w:pPr>
      <w:r>
        <w:rPr>
          <w:rFonts w:ascii="Calibri" w:hAnsi="Calibri" w:eastAsia="Microsoft YaHei"/>
          <w:b/>
          <w:color w:val="2E74B5"/>
          <w:sz w:val="32"/>
        </w:rPr>
        <w:t>附录 A：关键证据索引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索引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路径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说明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A1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IntRuoyiBackend/docs/edhr/existing-edhr-contract.md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后端现有合约、控制器、权限、数据对象和禁止改写边界。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A2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IntRuoyiFronted/docs/edhr/existing-edhr-frontend-contract.md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前端 API、页面入口和权限门禁。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A3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docs/backend-development.md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EDHR 详情回填、快照、版本治理、单元格链接、Word 解析和放行负责人门禁。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A4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docs/e2e-rules.md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真实 E2E、作废闭环、工作任务、只读追踪和页面断言门禁。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A5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AGENTS.md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工艺路线三类配置术语契约和无 fallback 原则。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A6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doc/tasks/20260727-edhr-cell-link-auto-persist-design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单元格链接后端自动落库详细设计证据。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A7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doc/tasks/20260727-edhr-batch-void-work-task-closure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批次作废后工作台任务闭环需求和设计证据。</w:t>
            </w:r>
          </w:p>
        </w:tc>
      </w:tr>
    </w:tbl>
    <w:p/>
    <w:p>
      <w:pPr>
        <w:pStyle w:val="Heading1"/>
        <w:spacing w:before="240" w:after="120" w:line="264" w:lineRule="auto"/>
      </w:pPr>
      <w:r>
        <w:rPr>
          <w:rFonts w:ascii="Calibri" w:hAnsi="Calibri" w:eastAsia="Microsoft YaHei"/>
          <w:b/>
          <w:color w:val="2E74B5"/>
          <w:sz w:val="32"/>
        </w:rPr>
        <w:t>附录 B：文档生成说明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</w:rPr>
        <w:t>文档采用 standard_business_brief 风格：Calibri/Microsoft YaHei、US Letter、1 inch 页边距、蓝色标题、灰色表头。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</w:rPr>
        <w:t>本文不插入未验证的生产数据、账号、密码、真实租户或连接串。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</w:rPr>
        <w:t>本文中的接口、表、页面均来自当前工作区只读抽取或已存在项目文档。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</w:rPr>
        <w:t>如需正式立项交付，可将本文拆分为三份独立 Word：需求设计、概要设计、详细设计。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666666"/>
        <w:sz w:val="18"/>
      </w:rPr>
      <w:t>EDHR 批记录系统设计文档 | 反向设计基线 | 2026-07-28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EDHR 批记录系统详细设计</dc:title>
  <dc:subject>由概要设计落到当前接口、服务、表结构与页面实现</dc:subject>
  <dc:creator>Codex</dc:creator>
  <cp:keywords/>
  <dc:description>Generated from current IntRuoyi EDHR batch record implementation evidence.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