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40"/>
        <w:jc w:val="center"/>
      </w:pPr>
      <w:r>
        <w:rPr>
          <w:rFonts w:ascii="Calibri" w:hAnsi="Calibri" w:eastAsia="Microsoft YaHei"/>
          <w:b/>
          <w:color w:val="0B2545"/>
          <w:sz w:val="52"/>
        </w:rPr>
        <w:t>EDHR 批记录系统需求设计说明书</w:t>
      </w:r>
    </w:p>
    <w:p>
      <w:pPr>
        <w:spacing w:after="480"/>
        <w:jc w:val="center"/>
      </w:pPr>
      <w:r>
        <w:rPr>
          <w:rFonts w:ascii="Calibri" w:hAnsi="Calibri" w:eastAsia="Microsoft YaHei"/>
          <w:b w:val="0"/>
          <w:color w:val="2E74B5"/>
          <w:sz w:val="30"/>
        </w:rPr>
        <w:t>电子批记录系统建设需求规格说明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项目名称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EDHR 批记录系统建设项目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文档名称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需求设计说明书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文档版本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V1.0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编制日期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2026年7月28日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文档状态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正式交付版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适用范围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系统业务范围、用户角色、功能需求、业务规则、状态流转与验收标准</w:t>
            </w:r>
          </w:p>
        </w:tc>
      </w:tr>
    </w:tbl>
    <w:p>
      <w:r>
        <w:br w:type="page"/>
      </w: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0. 文档说明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本文档为 EDHR 批记录系统建设项目正式设计文件，用于明确系统建设目标、业务范围、设计边界、实现要求和验收依据。文档内容服务于项目实施、测试验证、上线交付和后续维护。</w:t>
      </w:r>
    </w:p>
    <w:p>
      <w:pPr>
        <w:spacing w:before="0" w:after="120" w:line="264" w:lineRule="auto"/>
      </w:pPr>
      <w:r>
        <w:rPr>
          <w:rFonts w:ascii="Calibri" w:hAnsi="Calibri" w:eastAsia="Microsoft YaHei"/>
          <w:b w:val="0"/>
          <w:sz w:val="22"/>
        </w:rPr>
        <w:t>本项目文档体系按照需求设计、概要设计、详细设计逐层展开。需求设计明确业务与验收要求，概要设计定义系统总体方案，详细设计细化到接口、服务、数据和页面实现。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文档体系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主要内容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交付作用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明确系统建设目标、业务范围、用户角色、功能需求、业务规则、状态流转与验收标准。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作为概要设计、测试验收和项目范围确认的输入。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依据需求设计定义系统总体架构、模块划分、核心流程、接口分组、数据域和非功能要求。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作为详细设计、接口设计和开发实施的总体依据。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详细设计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依据概要设计细化控制器、服务组件、前端页面、数据表、关键算法、事务和错误模型。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作为开发实现、联调测试、上线验证和运维交接的实施依据。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0.1 编制依据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依据类别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依据内容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适用说明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业务管理要求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电子批生产记录管理、生产过程记录完整性、质量审核追溯和批次放行管理要求。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确定系统建设目标、业务范围、角色职责和验收口径。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系统建设范围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批记录模板、工艺路线、批次执行、工作任务、电子签名、字段审计、归档、变更和交付证据。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确定功能模块边界和主数据关系。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合规控制要求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权限控制、操作审计、字段变更留痕、电子签名、归档下载、作废重开补录和异常处理。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确定安全、审计、追溯和终态保护要求。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技术实现约束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前后端分离架构、MES 业务模块、批记录执行服务、EDHR 批次执行服务、Jimu 表单渲染和审批流程集成。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确定概要设计和详细设计的技术边界。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测试验收要求</w:t>
            </w:r>
          </w:p>
        </w:tc>
        <w:tc>
          <w:tcPr>
            <w:tcW w:type="dxa" w:w="45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功能测试、接口联调、真实业务路径验证、异常场景验证、权限验证和归档追溯验证。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确定交付验收和质量验证范围。</w:t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1. 需求设计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1.1 背景与目标</w:t>
      </w:r>
    </w:p>
    <w:p>
      <w:pPr>
        <w:spacing w:before="0" w:after="120" w:line="264" w:lineRule="auto"/>
      </w:pPr>
      <w:r>
        <w:rPr>
          <w:rFonts w:ascii="微软雅黑" w:hAnsi="微软雅黑"/>
        </w:rPr>
        <w:t>EDHR 批记录系统用于把纸质或 Word 批记录、工艺路线、生产工单、填写责任、电子签名、字段审计、归档和放行流程整合为可追溯的电子化批生产记录。系统覆盖传统批记录执行、批次级 EDHR 执行、工作任务、变更记录、操作审计、对象权限和归档等业务能力。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降低纸质批记录和手工传递导致的数据缺失、责任不清和审计困难。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确保每个工序绑定的正式批记录表单能够按批次和任务打开、填写、签名、审核和归档。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把表单槽位、工序开始、批记录表单三类入口严格分开，防止数据来源混用。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在打开和填写过程中保留字段级哈希审计链、操作审计和域追溯证据。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通过工作台、放行、变更、作废、补录和归档闭环支持生产和质量管理。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1.2 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范围分类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纳入范围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说明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核心批记录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批记录导入、识别、版本治理、单元格规则、签名单元格、正式批记录执行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对应 /batch-record-report、/batch-record-execution、/batch-record-version/governance 等能力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批次级 EDHR 创建/打开、任务生成、工作台待办、特殊节点、批记录打开绑定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对应 /edhr-batch-execution 和 /edhr-work-task 能力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工艺路线绑定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逐工序正式批记录表单绑定、发布快照、草稿快照、附件负责人、表单槽位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必须区分 batchRecordReports 与 formBindings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填写与审计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草稿保存、提交、协签、审批、字段审计、域追溯、附件、签名时间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字段变更必须进入哈希链，禁止直接改主表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质量闭环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作废、重开、补录、流程干预、关闭、质量驳回、放行前检查、归档下载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终态必须 阻断处理，工作台任务源头过滤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扩展能力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记录本、流转单、标签打印、报表看板、OQ/PQ、部署交付证据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作为外围配套能力纳入概要设计</w:t>
            </w:r>
          </w:p>
        </w:tc>
      </w:tr>
    </w:tbl>
    <w:p/>
    <w:p>
      <w:pPr>
        <w:spacing w:before="0" w:after="120" w:line="264" w:lineRule="auto"/>
      </w:pPr>
      <w:r>
        <w:rPr>
          <w:rFonts w:ascii="微软雅黑" w:hAnsi="微软雅黑"/>
        </w:rPr>
        <w:t>不纳入范围：生产数据修复、运行环境调整、菜单权限变更和系统发布审批不属于本文档范围；相关事项应按项目变更管理流程另行确认和实施。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1.3 术语与领域边界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术语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定义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禁止混用边界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批记录表单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工序设置中每个对应工序绑定的正式生产批记录载体。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不得用 formBindings、默认 MAIN、表单槽位或工序开始配置替代。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表单槽位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特殊表单或动态表单中心模板绑定，正式数据源为 formBindings。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只能影响补充表单展示、保存和运行态链路，不改变批记录表单字段。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工序开始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特殊节点的上传人、附件负责人或同类开始节点配置。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不提供表单内容，不属于批记录表单或表单槽位。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围绕一个生产工单/批次生成的 EDHR 运行态对象。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终态批次不得继续打开填写任务，只能追溯审计。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下发给负责人或候选人的可处理任务。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作废、关闭、归档等终态批次不得出现在可操作待办中。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字段审计链</w:t>
            </w:r>
          </w:p>
        </w:tc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字段级保存、签名、附件变化形成的哈希链证据。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禁止绕过字段审计直接 update cell_values_json。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1.4 用户角色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角色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主要诉求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关键功能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生产负责人/填写人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按工作台任务填写当前工序批记录或相关表单。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个人待办、打开任务、保存草稿、提交、协填、附件上传。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工艺/工序配置人员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配置路线、工序、正式批记录表单、表单槽位和开始节点负责人。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路线候选版本、逐工序绑定、发布快照、绑定读回。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质量审核人员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审核、放行、驳回、作废、重开、补录和追溯。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审批、放行前检查、质量驳回、记录变更、审计查询。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系统管理员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维护权限、菜单、对象范围、模板版本和交付配置。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权限矩阵、版本治理、操作审计、部署证据。</w:t>
            </w:r>
          </w:p>
        </w:tc>
      </w:tr>
      <w:t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审计/合规人员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查看不可抵赖证据、字段变化、签名、归档和域追溯。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字段审计、域追溯、归档下载、操作审计、验证包。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1.5 用户流程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批记录模板导入：上传 Word/图片或选择识别路线，系统解析表格、生成 Jimu 报表、识别填写规则与签名单元格，并进入版本治理。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工艺路线配置：在工序设置中逐工序绑定正式批记录报表，并独立维护表单槽位和工序开始配置。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批次创建与打开：选择生产工单/路线生成 EDHR 批次执行，系统根据当前配置或发布快照生成任务，并冻结必要快照。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工作台处理：负责人从个人工作台打开任务，系统校验批次状态、任务责任、权限和当前活动执行记录。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填写与签核：填写人保存草稿、提交、协签或审批；字段变更、附件和签名进入审计链。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质量闭环：关闭、质量驳回、放行、作废、重开、补录和流程干预必须通过受控入口，并保留审计事件。</w:t>
      </w:r>
    </w:p>
    <w:p>
      <w:pPr>
        <w:pStyle w:val="ListNumber"/>
        <w:spacing w:before="0" w:after="80" w:line="276" w:lineRule="auto"/>
      </w:pPr>
      <w:r>
        <w:rPr>
          <w:rFonts w:ascii="Calibri" w:hAnsi="Calibri" w:eastAsia="Microsoft YaHei"/>
        </w:rPr>
        <w:t>归档与追溯：系统生成批次归档，审计人员通过归档、字段审计、域追溯和操作审计核查完整证据。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1.6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ID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需求项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需求描述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证据模块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批记录导入与生成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 DOC/图片/固定识别路线导入，生成电子批记录报表、Jimu JSON 和可编辑设计器入口。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MesProBatchRecordReportController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版本治理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批记录版本必须具备审批、治理摘要、迁移差异、确认规则和受控回滚能力。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MesProBatchRecordVersionGovernanceController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正式工序绑定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工艺路线中的批记录表单必须来自逐工序正式绑定，并反映到 batchRecordFormNames。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Route flow config / AGENTS 术语契约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三类配置隔离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批记录表单、表单槽位、工序开始必须分别展示、保存、验证和测试。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AGENTS / frontend/backend gates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批次执行生命周期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支持分页、详情、创建/打开、同步状态、关闭、质量驳回、返工重执行和终态保护。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/mes/pro/edhr-batch-execution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工作任务与负责人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工作台展示个人待办、候选签名、统计和归档规则；填写人候选来自创建时快照。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/mes/pro/edhr-work-task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REQ-07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批记录填写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支持打开/创建执行记录、草稿保存、提交、协签、审批、驳回、追踪和签名列表。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/mes/pro/batch-record-execution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REQ-08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字段审计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所有字段变化、签名、附件应进入字段审计批次与明细，支持哈希链验证。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/field-audit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REQ-09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单元格链接自动带值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生产工单等来源字段可按链接规则预填目标单元格，创建/打开时必须落库并幂等。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/batch-record-cell-link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REQ-10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附件与工序开始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特殊节点附件上传和附件负责人配置必须来自正式快照，缺失时阻断。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attachment owner gates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动态表单与记录本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FormCenter 表单槽位和记录本属于补充链路，不替代正式批记录表单。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/edhr-form-instance / recordbook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REQ-12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作废、重开、补录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作废生效后批次进入终态并取消活动工作任务；后续只能走受控重开/补录。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/mes/pro/edhr-change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REQ-13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放行与关闭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放行负责人来自 RELEASE_APPROVE；关闭、质量驳回和放行前检查保留审计证据。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/mes/pro/edhr-release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REQ-14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归档与下载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支持批记录执行归档和批次级归档生成、最新归档查询、下载和失效处理。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/archive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REQ-15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对象权限与操作审计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新增或既有写操作必须有权限码、对象范围、审计动作和失败原因。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/edhr-permission-scopes / operation-audit</w:t>
            </w:r>
          </w:p>
        </w:tc>
      </w:tr>
      <w:tr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REQ-16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报表、验证与交付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支持报告目录、查询导出审计、OQ/PQ、验证包、部署证据和交付驾驶舱。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report / validation / deployment / delivery</w:t>
            </w:r>
          </w:p>
        </w:tc>
      </w:tr>
    </w:tbl>
    <w:p/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1.7 业务规则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缺少正式逐工序批记录表单绑定时必须阻塞，不能用 formBindings、旧字段、默认 MAIN 或前端文案补齐。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/>
        </w:rPr>
        <w:t>当前 BATCH 工序配置存在时优先使用当前配置并校验绑定归属；发布快照不是通用 替代路径。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/>
        </w:rPr>
        <w:t>DRAFT 草稿显式保存过 BATCH 绑定快照后，DRAFT 查询必须优先返回草稿快照。</w:t>
      </w:r>
    </w:p>
    <w:p>
      <w:pPr>
        <w:pStyle w:val="ListBullet"/>
        <w:spacing w:before="0" w:after="80" w:line="276" w:lineRule="auto"/>
      </w:pPr>
      <w:r>
        <w:rPr>
          <w:rFonts w:ascii="微软雅黑" w:hAnsi="微软雅黑"/>
        </w:rPr>
        <w:t>批记录版本未发布、缺少 CELL_RULE_RECONCILED 治理证据或存在 BLOCKER 时，运行态必须 阻断处理。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字段自动带值必须写入 cell_values_json 并生成字段审计证据，不能只依赖前端 draft hydrate。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批次作废、关闭、归档、驳回等终态必须从工作台查询源头排除，并在 openTask 中继续阻断旧入口。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</w:rPr>
        <w:t>任何写入型 E2E 或数据修复必须使用任务自有数据、记录回滚路径，不得修改生产或未授权租户数据。</w:t>
      </w:r>
    </w:p>
    <w:p>
      <w:pPr>
        <w:pStyle w:val="Heading2"/>
        <w:spacing w:before="160" w:after="120" w:line="264" w:lineRule="auto"/>
      </w:pPr>
      <w:r>
        <w:rPr>
          <w:rFonts w:ascii="Calibri" w:hAnsi="Calibri" w:eastAsia="Microsoft YaHei"/>
          <w:b/>
          <w:color w:val="2E74B5"/>
          <w:sz w:val="26"/>
        </w:rPr>
        <w:t>1.8 状态与验收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对象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关键状态/动作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</w:pPr>
            <w:r>
              <w:rPr>
                <w:rFonts w:ascii="微软雅黑" w:hAnsi="微软雅黑"/>
                <w:sz w:val="20"/>
              </w:rPr>
              <w:t>创建、执行中、关闭、归档、质量驳回、作废等；VOIDED 作为终态纳入状态字典。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终态批次不可打开可处理任务，只能追溯审计。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批次任务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待处理、处理中、逾期、已完成、已取消。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作废生效时活动任务取消，已完成任务不被重写。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批记录执行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DRAFT、提交、审批、驳回、追踪、归档。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保存、提交、审批均可从字段审计和签名证据追踪。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批记录版本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草稿、审批、已发布/治理通过、回滚申请。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未确认或未治理通过版本不得进入运行态填写。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表单槽位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补充动态表单创建、草稿、提交、查看。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Calibri" w:hAnsi="Calibri" w:eastAsia="Microsoft YaHei"/>
                <w:sz w:val="20"/>
              </w:rPr>
              <w:t>不得影响正式批记录表单字段、节点红绿状态或链接。</w:t>
            </w:r>
          </w:p>
        </w:tc>
      </w:tr>
    </w:tbl>
    <w:p/>
    <w:p>
      <w:pPr>
        <w:sectPr>
          <w:footerReference w:type="default" r:id="rId9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A：设计依据与术语说明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类别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说明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sz w:val="20"/>
              </w:rPr>
              <w:t>适用范围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业务流程、质量管理、生产执行、电子记录和审计追溯相关要求。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需求设计、验收标准和业务规则。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设计依据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系统模块划分、接口分组、数据模型、权限审计、归档追溯和交付验证要求。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概要设计和详细设计。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术语约定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批记录表单、表单槽位、工序开始、批次执行、工作任务、字段审计链等术语按本文定义使用。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需求、概要、详细设计全文。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控制原则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正式批记录表单、补充表单槽位和工序开始配置分别建模、分别展示、分别验证。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  <w:t>业务流程、接口设计和测试验收。</w:t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  <w:tr>
        <w:tc>
          <w:tcPr>
            <w:tcW w:type="dxa" w:w="10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20"/>
              </w:rPr>
            </w:r>
          </w:p>
        </w:tc>
      </w:tr>
    </w:tbl>
    <w:p/>
    <w:p>
      <w:pPr>
        <w:pStyle w:val="Heading1"/>
        <w:spacing w:before="240" w:after="120" w:line="264" w:lineRule="auto"/>
      </w:pPr>
      <w:r>
        <w:rPr>
          <w:rFonts w:ascii="Calibri" w:hAnsi="Calibri" w:eastAsia="Microsoft YaHei"/>
          <w:b/>
          <w:color w:val="2E74B5"/>
          <w:sz w:val="32"/>
        </w:rPr>
        <w:t>附录 B：文档控制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文档采用统一的正式交付版式，标题、正文、表格和附录保持一致的排版规范。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文档不包含生产账号、密码、连接串、密钥或其他敏感信息。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接口、数据对象和页面说明以系统设计边界、业务流程和技术实现方案为依据。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Microsoft YaHei"/>
          <w:b w:val="0"/>
          <w:sz w:val="22"/>
        </w:rPr>
        <w:t>需求设计、概要设计和详细设计共同构成本系统建设的成套交付资料。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6666"/>
        <w:sz w:val="18"/>
      </w:rPr>
      <w:t>EDHR 批记录系统设计文档 | 反向设计基线 | 2026-07-28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EDHR 批记录系统需求设计说明书</dc:title>
  <dc:subject>电子批记录系统建设需求规格说明</dc:subject>
  <dc:creator>项目组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