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微软雅黑" w:hAnsi="微软雅黑" w:eastAsia="微软雅黑"/>
          <w:b/>
          <w:color w:val="000000"/>
          <w:sz w:val="52"/>
        </w:rPr>
        <w:t>EDHR 批记录系统概要设计说明书</w:t>
      </w:r>
    </w:p>
    <w:p>
      <w:pPr>
        <w:spacing w:after="480"/>
        <w:jc w:val="center"/>
      </w:pPr>
      <w:r>
        <w:rPr>
          <w:rFonts w:ascii="微软雅黑" w:hAnsi="微软雅黑" w:eastAsia="微软雅黑"/>
          <w:b w:val="0"/>
          <w:color w:val="000000"/>
          <w:sz w:val="30"/>
        </w:rPr>
        <w:t>电子批记录系统建设概要设计说明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项目名称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EDHR 批记录系统建设项目</w:t>
            </w:r>
          </w:p>
        </w:tc>
      </w:tr>
      <w:tr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文档名称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概要设计说明书</w:t>
            </w:r>
          </w:p>
        </w:tc>
      </w:tr>
      <w:tr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文档版本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V1.0</w:t>
            </w:r>
          </w:p>
        </w:tc>
      </w:tr>
      <w:tr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编制日期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2026年7月28日</w:t>
            </w:r>
          </w:p>
        </w:tc>
      </w:tr>
      <w:tr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文档状态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正式交付版</w:t>
            </w:r>
          </w:p>
        </w:tc>
      </w:tr>
      <w:tr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适用范围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系统总体架构、模块划分、核心流程、接口分组、数据域和非功能要求</w:t>
            </w:r>
          </w:p>
        </w:tc>
      </w:tr>
    </w:tbl>
    <w:p>
      <w:pPr/>
      <w:r>
        <w:rPr>
          <w:rFonts w:ascii="微软雅黑" w:hAnsi="微软雅黑" w:eastAsia="微软雅黑"/>
          <w:color w:val="000000"/>
        </w:rPr>
        <w:br w:type="page"/>
      </w:r>
    </w:p>
    <w:p>
      <w:pPr>
        <w:pStyle w:val="Heading1"/>
        <w:spacing w:before="240" w:after="120" w:line="264" w:lineRule="auto"/>
      </w:pPr>
      <w:r>
        <w:rPr>
          <w:rFonts w:ascii="微软雅黑" w:hAnsi="微软雅黑" w:eastAsia="微软雅黑"/>
          <w:b/>
          <w:color w:val="000000"/>
          <w:sz w:val="32"/>
        </w:rPr>
        <w:t>0. 文档说明</w:t>
      </w:r>
    </w:p>
    <w:p>
      <w:pPr>
        <w:spacing w:before="0" w:after="120" w:line="26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本文档为 EDHR 批记录系统建设项目正式设计文件，用于明确系统建设目标、业务范围、设计边界、实现要求和验收依据。文档内容服务于项目实施、测试验证、上线交付和后续维护。</w:t>
      </w:r>
    </w:p>
    <w:p>
      <w:pPr>
        <w:spacing w:before="0" w:after="120" w:line="264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本项目文档体系按照需求设计、概要设计、详细设计逐层展开。需求设计明确业务与验收要求，概要设计定义系统总体方案，详细设计细化到接口、服务、数据和页面实现。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文档体系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主要内容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交付作用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需求设计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明确系统建设目标、业务范围、用户角色、功能需求、业务规则、状态流转与验收标准。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作为概要设计、测试验收和项目范围确认的输入。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概要设计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依据需求设计定义系统总体架构、模块划分、核心流程、接口分组、数据域和非功能要求。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作为详细设计、接口设计和开发实施的总体依据。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详细设计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依据概要设计细化控制器、服务组件、前端页面、数据表、关键算法、事务和错误模型。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作为开发实现、联调测试、上线验证和运维交接的实施依据。</w:t>
            </w:r>
          </w:p>
        </w:tc>
      </w:tr>
    </w:tbl>
    <w:p>
      <w:pPr/>
    </w:p>
    <w:p>
      <w:pPr>
        <w:pStyle w:val="Heading2"/>
        <w:spacing w:before="160" w:after="120" w:line="264" w:lineRule="auto"/>
      </w:pPr>
      <w:r>
        <w:rPr>
          <w:rFonts w:ascii="微软雅黑" w:hAnsi="微软雅黑" w:eastAsia="微软雅黑"/>
          <w:b/>
          <w:color w:val="000000"/>
          <w:sz w:val="26"/>
        </w:rPr>
        <w:t>0.1 编制依据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依据类别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依据内容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适用说明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业务管理要求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电子批生产记录管理、生产过程记录完整性、质量审核追溯和批次放行管理要求。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确定系统建设目标、业务范围、角色职责和验收口径。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系统建设范围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批记录模板、工艺路线、批次执行、工作任务、电子签名、字段审计、归档、变更和交付证据。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确定功能模块边界和主数据关系。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合规控制要求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权限控制、操作审计、字段变更留痕、电子签名、归档下载、作废重开补录和异常处理。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确定安全、审计、追溯和终态保护要求。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技术实现约束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前后端分离架构、MES 业务模块、批记录执行服务、EDHR 批次执行服务、Jimu 表单渲染和审批流程集成。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确定概要设计和详细设计的技术边界。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测试验收要求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功能测试、接口联调、真实业务路径验证、异常场景验证、权限验证和归档追溯验证。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确定交付验收和质量验证范围。</w:t>
            </w:r>
          </w:p>
        </w:tc>
      </w:tr>
    </w:tbl>
    <w:p>
      <w:pPr/>
    </w:p>
    <w:p>
      <w:pPr>
        <w:pStyle w:val="Heading1"/>
        <w:spacing w:before="240" w:after="120" w:line="264" w:lineRule="auto"/>
      </w:pPr>
      <w:r>
        <w:rPr>
          <w:rFonts w:ascii="微软雅黑" w:hAnsi="微软雅黑" w:eastAsia="微软雅黑"/>
          <w:b/>
          <w:color w:val="000000"/>
          <w:sz w:val="32"/>
        </w:rPr>
        <w:t>2. 概要设计</w:t>
      </w:r>
    </w:p>
    <w:p>
      <w:pPr>
        <w:pStyle w:val="Heading2"/>
        <w:spacing w:before="160" w:after="120" w:line="264" w:lineRule="auto"/>
      </w:pPr>
      <w:r>
        <w:rPr>
          <w:rFonts w:ascii="微软雅黑" w:hAnsi="微软雅黑" w:eastAsia="微软雅黑"/>
          <w:b/>
          <w:color w:val="000000"/>
          <w:sz w:val="26"/>
        </w:rPr>
        <w:t>2.1 总体架构</w:t>
      </w:r>
    </w:p>
    <w:p>
      <w:pPr>
        <w:spacing w:before="0" w:after="120" w:line="264" w:lineRule="auto"/>
      </w:pPr>
      <w:r>
        <w:rPr>
          <w:rFonts w:ascii="微软雅黑" w:hAnsi="微软雅黑" w:eastAsia="微软雅黑"/>
          <w:color w:val="000000"/>
        </w:rPr>
        <w:t>系统采用前后端分离架构：前端 Vue 3/Vite/Element Plus 承载批记录管理、批次执行、工作任务、审计追踪和交付看板；后端 Spring Boot/Maven 多模块中的 yudao-module-mes 承载 EDHR 领域服务、控制器、数据对象、Mapper 和审计链路；Jimu 报表负责批记录表单渲染与设计器能力，BPM/业务审批策略负责受控审批，文件服务和归档服务承载证据文件。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架构层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主要模块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前端交互层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列表、详情、工作台、填写器、审计和配置页面。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edhr-batch、edhr-work-task、edhr、batchrecordformlist、batchrecordcelllink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API 适配层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封装后端 REST 路径、请求参数、响应对象和权限操作。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src/api/mes/pro/edhr、batchrecordreport、batchrecordcelllink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业务服务层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批次创建、任务打开、批记录执行、字段审计、变更、放行、归档。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MesProEdhrBatchExecutionService、MesProBatchRecordExecutionService 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数据访问层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DO、Mapper、SQL 表与状态字段。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mes_pro_edhr_*、mes_pro_batch_record_*、route flow binding 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合规支撑层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对象权限、操作审计、字段哈希链、域追溯、归档下载。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permission-scope、operation-audit、field-audit、domain-trace、archive</w:t>
            </w:r>
          </w:p>
        </w:tc>
      </w:tr>
    </w:tbl>
    <w:p>
      <w:pPr/>
    </w:p>
    <w:p>
      <w:pPr>
        <w:pStyle w:val="Heading2"/>
        <w:spacing w:before="160" w:after="120" w:line="264" w:lineRule="auto"/>
      </w:pPr>
      <w:r>
        <w:rPr>
          <w:rFonts w:ascii="微软雅黑" w:hAnsi="微软雅黑" w:eastAsia="微软雅黑"/>
          <w:b/>
          <w:color w:val="000000"/>
          <w:sz w:val="26"/>
        </w:rPr>
        <w:t>2.2 模块划分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概要职责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衍生需求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批记录模板与版本模块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导入、解析、生成报表、维护签名单元格和填写规则、升版审批和治理。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REQ-01, REQ-02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工艺路线绑定模块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维护逐工序正式批记录表单、表单槽位、开始节点和发布/草稿快照。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REQ-03, REQ-04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批次执行模块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创建/打开 EDHR 批次、生成任务、同步状态、处理终态和作废。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REQ-05, REQ-12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工作任务模块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个人待办、候选任务、统计、归档/关闭/放行规则和任务重派。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REQ-06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填写与执行模块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传统批记录执行记录打开、草稿保存、提交、协签、审批和追踪。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REQ-07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字段审计与追溯模块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字段审计批次、哈希链、责任归因、域追溯、操作审计。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REQ-08, REQ-15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单元格链接模块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定义来源字段和目标单元格链接，打开执行记录时自动落库。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REQ-09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附件与归档模块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附件上传准备、负责人校验、批记录执行归档、批次归档和下载。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REQ-10, REQ-14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质量变更与放行模块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作废、重开、补录、流程干预、放行前检查、关闭与质量驳回。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REQ-12, REQ-13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报表验证交付模块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报表目录、查询导出、OQ/PQ、部署证据、交付驾驶舱。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REQ-16</w:t>
            </w:r>
          </w:p>
        </w:tc>
      </w:tr>
    </w:tbl>
    <w:p>
      <w:pPr/>
    </w:p>
    <w:p>
      <w:pPr>
        <w:pStyle w:val="Heading2"/>
        <w:spacing w:before="160" w:after="120" w:line="264" w:lineRule="auto"/>
      </w:pPr>
      <w:r>
        <w:rPr>
          <w:rFonts w:ascii="微软雅黑" w:hAnsi="微软雅黑" w:eastAsia="微软雅黑"/>
          <w:b/>
          <w:color w:val="000000"/>
          <w:sz w:val="26"/>
        </w:rPr>
        <w:t>2.3 核心业务流程概要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流程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概要步骤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关键控制点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批记录导入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上传/选择识别路线 -&gt; 解析 Word/图片 -&gt; 生成报表 -&gt; 保存规则 -&gt; 提交版本治理。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真实 fixture、表格解析规则、签名日期语义、CELL_RULE_RECONCILED。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路线绑定发布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配置工序正式批记录 -&gt; 配置表单槽位/开始节点 -&gt; 保存候选快照 -&gt; 审批/发布。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三类配置隔离，DRAFT 读写对称，发布快照完整。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批次创建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选择工单/路线 -&gt; 校验当前配置或快照 -&gt; 生成批次执行和任务 -&gt; 下发工作台。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当前配置异常时应阻断处理，不使用通用替代路径。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任务打开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工作台点击处理 -&gt; openTask 校验责任/状态 -&gt; 绑定或创建传统执行记录 -&gt; 返回填写上下文。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终态阻断、工作任务快照、active execution 按 batchExecutionId + taskId 隔离。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填写提交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保存草稿 -&gt; 字段审计保存 -&gt; 提交/协签/审批 -&gt; 更新任务状态。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字段哈希链、幂等键、签名证据、不可直接 update 主表。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作废与变更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发起申请 -&gt; 解析审批策略 -&gt; 审批生效 -&gt; 作废批次/取消任务/失效归档。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BPM_REQUIRED 走真实审批中心，DIRECT 按策略直通，任务取消事务一致。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归档追溯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生成归档 -&gt; 下载/查询最新 -&gt; 字段审计和域追溯核验 -&gt; 操作审计查询。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归档不可伪成功，缺证据必须暴露失败。</w:t>
            </w:r>
          </w:p>
        </w:tc>
      </w:tr>
    </w:tbl>
    <w:p>
      <w:pPr/>
    </w:p>
    <w:p>
      <w:pPr>
        <w:pStyle w:val="Heading2"/>
        <w:spacing w:before="160" w:after="120" w:line="264" w:lineRule="auto"/>
      </w:pPr>
      <w:r>
        <w:rPr>
          <w:rFonts w:ascii="微软雅黑" w:hAnsi="微软雅黑" w:eastAsia="微软雅黑"/>
          <w:b/>
          <w:color w:val="000000"/>
          <w:sz w:val="26"/>
        </w:rPr>
        <w:t>2.4 API 分组概要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API 组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基础路径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职责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批记录报表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/mes/pro/batch-record-report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导入、识别、版本审批、设计器路径、签名单元格、单元格规则、删除。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批记录执行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/mes/pro/batch-record-execution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打开/创建、保存、提交、协签、审批、追踪、签名列表。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批次执行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/mes/pro/edhr-batch-execution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分页、详情、工作台、工单路线选项、创建/打开、任务打开、关闭、驳回。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工作任务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/mes/pro/edhr-work-task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个人待办、已办、候选待办、统计、规则、候选签名和重派。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字段审计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/mes/pro/batch-record-execution/field-audit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保存字段变化、查询、责任汇总、哈希链验证和导出。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单元格链接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/mes/pro/batch-record-cell-link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工作台上下文、可链接单元格、规则保存、预填预览。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变更记录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/mes/pro/edhr-change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作废、重开、补录、审批策略解析、查询。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权限与审计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/mes/pro/edhr-permission-scopes、/mes/pro/edhr-operation-audit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对象权限评估、操作审计查询。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/mes/pro/batch-record-execution-archive、/mes/pro/edhr-batch-execution-archive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执行归档、批次归档、最新归档、下载。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放行/交付扩展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/mes/pro/edhr-release、/edhr-report-*、/edhr-validation-*、/edhr-deployment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放行前检查、报表查询、验证包、部署和交付证据。</w:t>
            </w:r>
          </w:p>
        </w:tc>
      </w:tr>
    </w:tbl>
    <w:p>
      <w:pPr/>
    </w:p>
    <w:p>
      <w:pPr>
        <w:pStyle w:val="Heading2"/>
        <w:spacing w:before="160" w:after="120" w:line="264" w:lineRule="auto"/>
      </w:pPr>
      <w:r>
        <w:rPr>
          <w:rFonts w:ascii="微软雅黑" w:hAnsi="微软雅黑" w:eastAsia="微软雅黑"/>
          <w:b/>
          <w:color w:val="000000"/>
          <w:sz w:val="26"/>
        </w:rPr>
        <w:t>2.5 数据域概要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数据域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代表表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设计说明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批记录模板/报表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mes_pro_batch_record_report、mes_pro_batch_record_version、mes_pro_batch_record_version_migration_item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维护批记录生成结果、版本审批和治理证据。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批次执行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mes_pro_edhr_batch_execution、mes_pro_edhr_batch_execution_task、mes_pro_edhr_work_task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承载批次级执行、工序任务和个人工作台任务。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传统执行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mes_pro_batch_record_execution、signature、archive、attachment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承载正式批记录填写、签名、归档和附件。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审计追溯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field_audit_batch、field_audit_item、domain_trace_snapshot、operation_audit_event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字段哈希链、域追溯和操作审计。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变更/放行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mes_pro_edhr_record_change_event、release_transaction、release_check_item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作废、重开、补录、放行和检查项。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扩展交付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recordbook、traveler、label、print、validation、deployment、delivery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0" w:after="40" w:line="252" w:lineRule="auto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记录本、流转单、标签打印、OQ/PQ、部署和交付证据。</w:t>
            </w:r>
          </w:p>
        </w:tc>
      </w:tr>
    </w:tbl>
    <w:p>
      <w:pPr/>
    </w:p>
    <w:p>
      <w:pPr>
        <w:pStyle w:val="Heading2"/>
        <w:spacing w:before="160" w:after="120" w:line="264" w:lineRule="auto"/>
      </w:pPr>
      <w:r>
        <w:rPr>
          <w:rFonts w:ascii="微软雅黑" w:hAnsi="微软雅黑" w:eastAsia="微软雅黑"/>
          <w:b/>
          <w:color w:val="000000"/>
          <w:sz w:val="26"/>
        </w:rPr>
        <w:t>2.6 非功能与合规概要</w:t>
      </w:r>
    </w:p>
    <w:p>
      <w:pPr>
        <w:pStyle w:val="ListBullet"/>
        <w:spacing w:before="0" w:after="80" w:line="276" w:lineRule="auto"/>
      </w:pPr>
      <w:r>
        <w:rPr>
          <w:rFonts w:ascii="微软雅黑" w:hAnsi="微软雅黑" w:eastAsia="微软雅黑"/>
          <w:color w:val="000000"/>
        </w:rPr>
        <w:t>失败显性化：缺配置、缺快照、缺字段、缺权限、缺真实夹具时必须 阻断处理。</w:t>
      </w:r>
    </w:p>
    <w:p>
      <w:pPr>
        <w:pStyle w:val="ListBullet"/>
        <w:spacing w:before="0" w:after="80" w:line="276" w:lineRule="auto"/>
      </w:pPr>
      <w:r>
        <w:rPr>
          <w:rFonts w:ascii="微软雅黑" w:hAnsi="微软雅黑" w:eastAsia="微软雅黑"/>
          <w:color w:val="000000"/>
        </w:rPr>
        <w:t>幂等一致性：重复打开、重复提交、自动预填和变更生效必须具备业务唯一键或幂等键。</w:t>
      </w:r>
    </w:p>
    <w:p>
      <w:pPr>
        <w:pStyle w:val="ListBullet"/>
        <w:spacing w:before="0" w:after="80" w:line="276" w:lineRule="auto"/>
      </w:pPr>
      <w:r>
        <w:rPr>
          <w:rFonts w:ascii="微软雅黑" w:hAnsi="微软雅黑" w:eastAsia="微软雅黑"/>
          <w:color w:val="000000"/>
        </w:rPr>
        <w:t>证据不可抵赖：字段审计、签名、归档、操作审计和域追溯形成可验证证据链。</w:t>
      </w:r>
    </w:p>
    <w:p>
      <w:pPr>
        <w:pStyle w:val="ListBullet"/>
        <w:spacing w:before="0" w:after="80" w:line="276" w:lineRule="auto"/>
      </w:pPr>
      <w:r>
        <w:rPr>
          <w:rFonts w:ascii="微软雅黑" w:hAnsi="微软雅黑" w:eastAsia="微软雅黑"/>
          <w:color w:val="000000"/>
        </w:rPr>
        <w:t>权限最小化：前端按钮可见性必须与后端权限码、对象范围和运行态授权一致。</w:t>
      </w:r>
    </w:p>
    <w:p>
      <w:pPr>
        <w:pStyle w:val="ListBullet"/>
        <w:spacing w:before="0" w:after="80" w:line="276" w:lineRule="auto"/>
      </w:pPr>
      <w:r>
        <w:rPr>
          <w:rFonts w:ascii="微软雅黑" w:hAnsi="微软雅黑" w:eastAsia="微软雅黑"/>
          <w:color w:val="000000"/>
        </w:rPr>
        <w:t>测试真实路径：写入型验收使用真实前端路径、真实租户账号和任务自有数据，API 仅作最终校验。</w:t>
      </w:r>
    </w:p>
    <w:p>
      <w:pPr>
        <w:pStyle w:val="ListBullet"/>
        <w:spacing w:before="0" w:after="80" w:line="276" w:lineRule="auto"/>
      </w:pPr>
      <w:r>
        <w:rPr>
          <w:rFonts w:ascii="微软雅黑" w:hAnsi="微软雅黑" w:eastAsia="微软雅黑"/>
          <w:color w:val="000000"/>
        </w:rPr>
        <w:t>术语稳定性：后续改动必须继续区分批记录表单、表单槽位和工序开始。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240" w:after="120" w:line="264" w:lineRule="auto"/>
      </w:pPr>
      <w:r>
        <w:rPr>
          <w:rFonts w:ascii="微软雅黑" w:hAnsi="微软雅黑" w:eastAsia="微软雅黑"/>
          <w:b/>
          <w:color w:val="000000"/>
          <w:sz w:val="32"/>
        </w:rPr>
        <w:t>附录 A：设计依据与术语说明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适用范围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需求依据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业务流程、质量管理、生产执行、电子记录和审计追溯相关要求。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需求设计、验收标准和业务规则。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设计依据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系统模块划分、接口分组、数据模型、权限审计、归档追溯和交付验证要求。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概要设计和详细设计。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术语约定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批记录表单、表单槽位、工序开始、批次执行、工作任务、字段审计链等术语按本文定义使用。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需求、概要、详细设计全文。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控制原则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正式批记录表单、补充表单槽位和工序开始配置分别建模、分别展示、分别验证。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业务流程、接口设计和测试验收。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</w:r>
          </w:p>
        </w:tc>
      </w:tr>
    </w:tbl>
    <w:p>
      <w:pPr/>
    </w:p>
    <w:p>
      <w:pPr>
        <w:pStyle w:val="Heading1"/>
        <w:spacing w:before="240" w:after="120" w:line="264" w:lineRule="auto"/>
      </w:pPr>
      <w:r>
        <w:rPr>
          <w:rFonts w:ascii="微软雅黑" w:hAnsi="微软雅黑" w:eastAsia="微软雅黑"/>
          <w:b/>
          <w:color w:val="000000"/>
          <w:sz w:val="32"/>
        </w:rPr>
        <w:t>附录 B：文档控制</w:t>
      </w:r>
    </w:p>
    <w:p>
      <w:pPr>
        <w:pStyle w:val="ListBullet"/>
        <w:spacing w:before="0" w:after="8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文档采用统一的正式交付版式，标题、正文、表格和附录保持一致的排版规范。</w:t>
      </w:r>
    </w:p>
    <w:p>
      <w:pPr>
        <w:pStyle w:val="ListBullet"/>
        <w:spacing w:before="0" w:after="8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文档不包含生产账号、密码、连接串、密钥或其他敏感信息。</w:t>
      </w:r>
    </w:p>
    <w:p>
      <w:pPr>
        <w:pStyle w:val="ListBullet"/>
        <w:spacing w:before="0" w:after="8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接口、数据对象和页面说明以系统设计边界、业务流程和技术实现方案为依据。</w:t>
      </w:r>
    </w:p>
    <w:p>
      <w:pPr>
        <w:pStyle w:val="ListBullet"/>
        <w:spacing w:before="0" w:after="8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需求设计、概要设计和详细设计共同构成本系统建设的成套交付资料。</w:t>
      </w:r>
    </w:p>
    <w:p>
      <w:pPr>
        <w:spacing w:before="160" w:after="100"/>
        <w:jc w:val="left"/>
        <w:shd w:fill="EDEDED" w:val="clear"/>
        <w:pBdr>
          <w:bottom w:val="single" w:sz="6" w:space="3" w:color="BFBFBF"/>
        </w:pBdr>
      </w:pPr>
      <w:r>
        <w:rPr>
          <w:rFonts w:ascii="微软雅黑" w:hAnsi="微软雅黑" w:eastAsia="微软雅黑"/>
          <w:b/>
          <w:color w:val="000000"/>
          <w:sz w:val="24"/>
        </w:rPr>
        <w:t>2.9 运行架构与部署视图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系统采用前后端分离、业务模块分层和流程服务协同的总体架构。前端负责批记录设计、批次执行工作台、任务处理和归档查询等交互；后端负责业务规则校验、状态流转、审计留痕、数据持久化和审批协同；报表设计器、流程引擎、对象存储和权限中心作为支撑能力接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层级</w:t>
            </w:r>
          </w:p>
        </w:tc>
        <w:tc>
          <w:tcPr>
            <w:tcW w:type="dxa" w:w="2880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组成</w:t>
            </w:r>
          </w:p>
        </w:tc>
        <w:tc>
          <w:tcPr>
            <w:tcW w:type="dxa" w:w="4320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职责概要</w:t>
            </w:r>
          </w:p>
        </w:tc>
        <w:tc>
          <w:tcPr>
            <w:tcW w:type="dxa" w:w="4320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主要约束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表现层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EDHR 批次列表、批次详情、任务工作台、批记录填写器、批记录模板设计器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承载用户操作入口，提供查看、填写、签名、提交、审批、归档和追溯界面。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页面仅展示经后端授权和状态校验后的操作，不在前端自行推断业务终态。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接口层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批记录报表接口、批记录执行接口、批次执行接口、工作任务接口、变更记录接口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提供统一的业务入口，负责参数校验、权限校验、业务服务编排和响应模型转换。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接口按业务域分组，不跨域混用批记录表单、表单槽位和工序开始配置。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业务层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模板识别、版本治理、批次创建、任务派发、填写保存、审批协同、归档服务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实现业务规则、状态机、审计链、归档和异常处理。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终态保护、权限保护和审计记录在服务层统一执行。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数据层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批记录报表、批记录版本、批次执行、工作任务、字段审计、变更记录、归档记录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保存配置、运行态、填写结果、审计证据和交付记录。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重要业务记录采用状态字段和审计表配合管理，不允许绕过审计链修改核心结果。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支撑层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Jimu 报表、BPM 审批、系统权限、用户组织、文件存储、操作日志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提供报表渲染、审批流转、身份认证、附件保存和操作审计能力。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支撑能力异常应明确提示并阻断受影响业务操作。</w:t>
            </w:r>
          </w:p>
        </w:tc>
      </w:tr>
    </w:tbl>
    <w:p>
      <w:pPr/>
    </w:p>
    <w:p>
      <w:pPr>
        <w:spacing w:before="160" w:after="100"/>
        <w:jc w:val="left"/>
        <w:shd w:fill="EDEDED" w:val="clear"/>
        <w:pBdr>
          <w:bottom w:val="single" w:sz="6" w:space="3" w:color="BFBFBF"/>
        </w:pBdr>
      </w:pPr>
      <w:r>
        <w:rPr>
          <w:rFonts w:ascii="微软雅黑" w:hAnsi="微软雅黑" w:eastAsia="微软雅黑"/>
          <w:b/>
          <w:color w:val="000000"/>
          <w:sz w:val="24"/>
        </w:rPr>
        <w:t>2.10 模块协作关系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概要设计层面将 EDHR 批记录系统划分为模板配置、路线绑定、批次执行、工作任务、填写审计、质量闭环和归档追溯七个核心协作域。各协作域之间通过明确的业务对象传递，不使用隐含字段或默认分类替代正式配置。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协作场景</w:t>
            </w:r>
          </w:p>
        </w:tc>
        <w:tc>
          <w:tcPr>
            <w:tcW w:type="dxa" w:w="2160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上游模块</w:t>
            </w:r>
          </w:p>
        </w:tc>
        <w:tc>
          <w:tcPr>
            <w:tcW w:type="dxa" w:w="2448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下游模块</w:t>
            </w:r>
          </w:p>
        </w:tc>
        <w:tc>
          <w:tcPr>
            <w:tcW w:type="dxa" w:w="3744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交互对象</w:t>
            </w:r>
          </w:p>
        </w:tc>
        <w:tc>
          <w:tcPr>
            <w:tcW w:type="dxa" w:w="4032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概要约束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批记录模板发布</w:t>
            </w:r>
          </w:p>
        </w:tc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批记录模板配置</w:t>
            </w:r>
          </w:p>
        </w:tc>
        <w:tc>
          <w:tcPr>
            <w:tcW w:type="dxa" w:w="244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版本治理、工艺路线绑定</w:t>
            </w:r>
          </w:p>
        </w:tc>
        <w:tc>
          <w:tcPr>
            <w:tcW w:type="dxa" w:w="374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批记录报表、版本状态、签名单元格、填写规则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模板必须完成规则确认后才能进入正式绑定。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路线绑定发布</w:t>
            </w:r>
          </w:p>
        </w:tc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工艺路线配置</w:t>
            </w:r>
          </w:p>
        </w:tc>
        <w:tc>
          <w:tcPr>
            <w:tcW w:type="dxa" w:w="244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批次执行创建、任务生成</w:t>
            </w:r>
          </w:p>
        </w:tc>
        <w:tc>
          <w:tcPr>
            <w:tcW w:type="dxa" w:w="374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逐工序批记录表单、表单槽位、工序开始配置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三类配置独立保存、独立展示、独立校验。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批次执行创建</w:t>
            </w:r>
          </w:p>
        </w:tc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生产工单、工艺路线</w:t>
            </w:r>
          </w:p>
        </w:tc>
        <w:tc>
          <w:tcPr>
            <w:tcW w:type="dxa" w:w="244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批次执行、工作任务</w:t>
            </w:r>
          </w:p>
        </w:tc>
        <w:tc>
          <w:tcPr>
            <w:tcW w:type="dxa" w:w="374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批次执行记录、任务列表、绑定快照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创建时冻结必要快照，确保执行期配置稳定。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任务打开填写</w:t>
            </w:r>
          </w:p>
        </w:tc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工作任务</w:t>
            </w:r>
          </w:p>
        </w:tc>
        <w:tc>
          <w:tcPr>
            <w:tcW w:type="dxa" w:w="244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批记录执行、填写器</w:t>
            </w:r>
          </w:p>
        </w:tc>
        <w:tc>
          <w:tcPr>
            <w:tcW w:type="dxa" w:w="374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任务身份、执行记录、单元格值、签名信息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打开前校验批次状态、任务责任、填写权限和当前活动记录。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填写提交审核</w:t>
            </w:r>
          </w:p>
        </w:tc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填写器</w:t>
            </w:r>
          </w:p>
        </w:tc>
        <w:tc>
          <w:tcPr>
            <w:tcW w:type="dxa" w:w="244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审批、审计、变更记录</w:t>
            </w:r>
          </w:p>
        </w:tc>
        <w:tc>
          <w:tcPr>
            <w:tcW w:type="dxa" w:w="374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字段变更、签名、附件、提交意见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提交形成字段级审计证据，并推动任务和批次状态变化。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质量驳回重开</w:t>
            </w:r>
          </w:p>
        </w:tc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质量审核</w:t>
            </w:r>
          </w:p>
        </w:tc>
        <w:tc>
          <w:tcPr>
            <w:tcW w:type="dxa" w:w="244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工作任务、变更记录</w:t>
            </w:r>
          </w:p>
        </w:tc>
        <w:tc>
          <w:tcPr>
            <w:tcW w:type="dxa" w:w="374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驳回原因、重开范围、补录依据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重开和补录必须保留原因、责任人、时间和影响范围。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归档交付</w:t>
            </w:r>
          </w:p>
        </w:tc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批次执行、字段审计</w:t>
            </w:r>
          </w:p>
        </w:tc>
        <w:tc>
          <w:tcPr>
            <w:tcW w:type="dxa" w:w="244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归档下载、追溯查询</w:t>
            </w:r>
          </w:p>
        </w:tc>
        <w:tc>
          <w:tcPr>
            <w:tcW w:type="dxa" w:w="374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归档包、归档记录、审计链摘要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归档内容需与批次终态、填写记录和审计证据一致。</w:t>
            </w:r>
          </w:p>
        </w:tc>
      </w:tr>
    </w:tbl>
    <w:p>
      <w:pPr/>
    </w:p>
    <w:p>
      <w:pPr>
        <w:spacing w:before="160" w:after="100"/>
        <w:jc w:val="left"/>
        <w:shd w:fill="EDEDED" w:val="clear"/>
        <w:pBdr>
          <w:bottom w:val="single" w:sz="6" w:space="3" w:color="BFBFBF"/>
        </w:pBdr>
      </w:pPr>
      <w:r>
        <w:rPr>
          <w:rFonts w:ascii="微软雅黑" w:hAnsi="微软雅黑" w:eastAsia="微软雅黑"/>
          <w:b/>
          <w:color w:val="000000"/>
          <w:sz w:val="24"/>
        </w:rPr>
        <w:t>2.11 数据域概要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数据域</w:t>
            </w:r>
          </w:p>
        </w:tc>
        <w:tc>
          <w:tcPr>
            <w:tcW w:type="dxa" w:w="3456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核心对象</w:t>
            </w:r>
          </w:p>
        </w:tc>
        <w:tc>
          <w:tcPr>
            <w:tcW w:type="dxa" w:w="3024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生命周期</w:t>
            </w:r>
          </w:p>
        </w:tc>
        <w:tc>
          <w:tcPr>
            <w:tcW w:type="dxa" w:w="4464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概要设计说明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模板定义域</w:t>
            </w:r>
          </w:p>
        </w:tc>
        <w:tc>
          <w:tcPr>
            <w:tcW w:type="dxa" w:w="345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批记录报表、报表版本、单元格规则、签名单元格</w:t>
            </w:r>
          </w:p>
        </w:tc>
        <w:tc>
          <w:tcPr>
            <w:tcW w:type="dxa" w:w="302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导入、识别、设计、确认、发布、升版、停用</w:t>
            </w:r>
          </w:p>
        </w:tc>
        <w:tc>
          <w:tcPr>
            <w:tcW w:type="dxa" w:w="446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定义正式批记录载体和填写规则，是运行态批记录的来源。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路线绑定域</w:t>
            </w:r>
          </w:p>
        </w:tc>
        <w:tc>
          <w:tcPr>
            <w:tcW w:type="dxa" w:w="345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工艺路线、工序、批记录表单绑定、表单槽位、工序开始配置</w:t>
            </w:r>
          </w:p>
        </w:tc>
        <w:tc>
          <w:tcPr>
            <w:tcW w:type="dxa" w:w="302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草稿、保存、发布、引用、变更</w:t>
            </w:r>
          </w:p>
        </w:tc>
        <w:tc>
          <w:tcPr>
            <w:tcW w:type="dxa" w:w="446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为批次执行提供逐工序配置来源，必须区分正式批记录和补充表单。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批次执行域</w:t>
            </w:r>
          </w:p>
        </w:tc>
        <w:tc>
          <w:tcPr>
            <w:tcW w:type="dxa" w:w="345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EDHR 批次执行、批次快照、执行状态、关闭/作废信息</w:t>
            </w:r>
          </w:p>
        </w:tc>
        <w:tc>
          <w:tcPr>
            <w:tcW w:type="dxa" w:w="302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创建、执行、驳回、补录、关闭、归档、作废</w:t>
            </w:r>
          </w:p>
        </w:tc>
        <w:tc>
          <w:tcPr>
            <w:tcW w:type="dxa" w:w="446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承载单个生产批次的全过程电子批记录运行态。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任务域</w:t>
            </w:r>
          </w:p>
        </w:tc>
        <w:tc>
          <w:tcPr>
            <w:tcW w:type="dxa" w:w="345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工作任务、负责人、候选人、任务状态、允许动作</w:t>
            </w:r>
          </w:p>
        </w:tc>
        <w:tc>
          <w:tcPr>
            <w:tcW w:type="dxa" w:w="302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生成、领取、打开、填写、提交、跳过、关闭</w:t>
            </w:r>
          </w:p>
        </w:tc>
        <w:tc>
          <w:tcPr>
            <w:tcW w:type="dxa" w:w="446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承接用户可处理事项，保证工作台与批次状态一致。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填写结果域</w:t>
            </w:r>
          </w:p>
        </w:tc>
        <w:tc>
          <w:tcPr>
            <w:tcW w:type="dxa" w:w="345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执行记录、单元格值、签名、附件、提交意见</w:t>
            </w:r>
          </w:p>
        </w:tc>
        <w:tc>
          <w:tcPr>
            <w:tcW w:type="dxa" w:w="302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草稿、保存、提交、审核、只读追溯</w:t>
            </w:r>
          </w:p>
        </w:tc>
        <w:tc>
          <w:tcPr>
            <w:tcW w:type="dxa" w:w="446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保存批记录填写结果，并形成字段级审计依据。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审计追溯域</w:t>
            </w:r>
          </w:p>
        </w:tc>
        <w:tc>
          <w:tcPr>
            <w:tcW w:type="dxa" w:w="345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字段审计、域追溯、操作审计、变更记录</w:t>
            </w:r>
          </w:p>
        </w:tc>
        <w:tc>
          <w:tcPr>
            <w:tcW w:type="dxa" w:w="302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记录、串联、查询、核验、导出</w:t>
            </w:r>
          </w:p>
        </w:tc>
        <w:tc>
          <w:tcPr>
            <w:tcW w:type="dxa" w:w="446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满足质量审核和合规追溯要求。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归档交付域</w:t>
            </w:r>
          </w:p>
        </w:tc>
        <w:tc>
          <w:tcPr>
            <w:tcW w:type="dxa" w:w="345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归档记录、归档文件、归档失效标识、下载日志</w:t>
            </w:r>
          </w:p>
        </w:tc>
        <w:tc>
          <w:tcPr>
            <w:tcW w:type="dxa" w:w="302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生成、查询、下载、失效、再归档</w:t>
            </w:r>
          </w:p>
        </w:tc>
        <w:tc>
          <w:tcPr>
            <w:tcW w:type="dxa" w:w="4464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形成可交付、可下载、可追溯的批次归档结果。</w:t>
            </w:r>
          </w:p>
        </w:tc>
      </w:tr>
    </w:tbl>
    <w:p>
      <w:pPr/>
    </w:p>
    <w:p>
      <w:pPr>
        <w:spacing w:before="160" w:after="100"/>
        <w:jc w:val="left"/>
        <w:shd w:fill="EDEDED" w:val="clear"/>
        <w:pBdr>
          <w:bottom w:val="single" w:sz="6" w:space="3" w:color="BFBFBF"/>
        </w:pBdr>
      </w:pPr>
      <w:r>
        <w:rPr>
          <w:rFonts w:ascii="微软雅黑" w:hAnsi="微软雅黑" w:eastAsia="微软雅黑"/>
          <w:b/>
          <w:color w:val="000000"/>
          <w:sz w:val="24"/>
        </w:rPr>
        <w:t>2.12 接口分组概要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接口分组</w:t>
            </w:r>
          </w:p>
        </w:tc>
        <w:tc>
          <w:tcPr>
            <w:tcW w:type="dxa" w:w="3312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服务范围</w:t>
            </w:r>
          </w:p>
        </w:tc>
        <w:tc>
          <w:tcPr>
            <w:tcW w:type="dxa" w:w="4320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典型能力</w:t>
            </w:r>
          </w:p>
        </w:tc>
        <w:tc>
          <w:tcPr>
            <w:tcW w:type="dxa" w:w="2880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调用方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批记录报表接口</w:t>
            </w:r>
          </w:p>
        </w:tc>
        <w:tc>
          <w:tcPr>
            <w:tcW w:type="dxa" w:w="331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模板导入、识别、设计、规则确认、版本治理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上传识别、报表查询、规则维护、版本提交、报表打开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模板管理员、工艺管理员、质量人员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批记录执行接口</w:t>
            </w:r>
          </w:p>
        </w:tc>
        <w:tc>
          <w:tcPr>
            <w:tcW w:type="dxa" w:w="331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传统批记录执行记录与填写结果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打开执行记录、保存草稿、提交、签名、附件、字段审计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批记录填写器、任务详情页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EDHR 批次执行接口</w:t>
            </w:r>
          </w:p>
        </w:tc>
        <w:tc>
          <w:tcPr>
            <w:tcW w:type="dxa" w:w="331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批次级执行对象、批次详情、状态管理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创建批次、打开批次、关闭、驳回、作废、补录、归档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批次列表、批次详情、质量审核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EDHR 工作任务接口</w:t>
            </w:r>
          </w:p>
        </w:tc>
        <w:tc>
          <w:tcPr>
            <w:tcW w:type="dxa" w:w="331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个人待办、任务打开、任务动作、统计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任务分页、任务详情、打开填写、提交、跳过、关闭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个人工作台、批次详情页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变更记录接口</w:t>
            </w:r>
          </w:p>
        </w:tc>
        <w:tc>
          <w:tcPr>
            <w:tcW w:type="dxa" w:w="331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批次变更、作废、重开、补录、审批协同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变更申请、审批状态、影响范围、记录查询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质量人员、生产主管、审批中心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归档追溯接口</w:t>
            </w:r>
          </w:p>
        </w:tc>
        <w:tc>
          <w:tcPr>
            <w:tcW w:type="dxa" w:w="331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归档文件、字段审计、域追溯、操作审计</w:t>
            </w:r>
          </w:p>
        </w:tc>
        <w:tc>
          <w:tcPr>
            <w:tcW w:type="dxa" w:w="432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归档生成、下载、最新归档查询、审计链查询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质量审核、QA、审计人员</w:t>
            </w:r>
          </w:p>
        </w:tc>
      </w:tr>
    </w:tbl>
    <w:p>
      <w:pPr/>
    </w:p>
    <w:p>
      <w:pPr>
        <w:spacing w:before="160" w:after="100"/>
        <w:jc w:val="left"/>
        <w:shd w:fill="EDEDED" w:val="clear"/>
        <w:pBdr>
          <w:bottom w:val="single" w:sz="6" w:space="3" w:color="BFBFBF"/>
        </w:pBdr>
      </w:pPr>
      <w:r>
        <w:rPr>
          <w:rFonts w:ascii="微软雅黑" w:hAnsi="微软雅黑" w:eastAsia="微软雅黑"/>
          <w:b/>
          <w:color w:val="000000"/>
          <w:sz w:val="24"/>
        </w:rPr>
        <w:t>2.13 安全、审计与异常处理概要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权限控制：按菜单权限、业务角色、任务责任人、候选人和批次状态共同决定可见范围与可操作动作。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状态保护：关闭、归档、作废、质量驳回等终态或受限状态不得继续进入普通填写路径。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审计留痕：字段值、签名、附件、提交、驳回、作废、补录和归档均需形成可查询记录。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异常处理：正式绑定缺失、配置归属错误、快照不一致、任务责任不匹配、归档缺少依据等场景应明确阻断并提示。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数据一致性：批次执行、工作任务、填写结果、审计记录和归档记录需保持同一批次上下文。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异常分类</w:t>
            </w:r>
          </w:p>
        </w:tc>
        <w:tc>
          <w:tcPr>
            <w:tcW w:type="dxa" w:w="3888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概要处理方式</w:t>
            </w:r>
          </w:p>
        </w:tc>
        <w:tc>
          <w:tcPr>
            <w:tcW w:type="dxa" w:w="2880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用户呈现</w:t>
            </w:r>
          </w:p>
        </w:tc>
        <w:tc>
          <w:tcPr>
            <w:tcW w:type="dxa" w:w="4032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后续处理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配置异常</w:t>
            </w:r>
          </w:p>
        </w:tc>
        <w:tc>
          <w:tcPr>
            <w:tcW w:type="dxa" w:w="388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阻断批次创建或任务打开，提示缺失或错误配置项。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显示明确业务提示，不返回默认成功。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由工艺或模板管理员修正配置后重新执行。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权限异常</w:t>
            </w:r>
          </w:p>
        </w:tc>
        <w:tc>
          <w:tcPr>
            <w:tcW w:type="dxa" w:w="388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拒绝越权查看或操作，保留访问审计。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提示无权限或无任务责任。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由权限管理员或任务负责人调整授权。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状态异常</w:t>
            </w:r>
          </w:p>
        </w:tc>
        <w:tc>
          <w:tcPr>
            <w:tcW w:type="dxa" w:w="388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阻断终态批次继续填写，允许只读追溯。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提示当前状态不允许该操作。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按质量流程执行重开、补录或变更。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审计异常</w:t>
            </w:r>
          </w:p>
        </w:tc>
        <w:tc>
          <w:tcPr>
            <w:tcW w:type="dxa" w:w="388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阻断提交或归档，避免形成不完整记录。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提示审计证据不完整。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补齐字段审计、签名或附件依据。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归档异常</w:t>
            </w:r>
          </w:p>
        </w:tc>
        <w:tc>
          <w:tcPr>
            <w:tcW w:type="dxa" w:w="3888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阻断归档成功状态，保留失败原因。</w:t>
            </w:r>
          </w:p>
        </w:tc>
        <w:tc>
          <w:tcPr>
            <w:tcW w:type="dxa" w:w="288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提示归档失败及原因。</w:t>
            </w:r>
          </w:p>
        </w:tc>
        <w:tc>
          <w:tcPr>
            <w:tcW w:type="dxa" w:w="4032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修正模板、附件或记录后重新归档。</w:t>
            </w:r>
          </w:p>
        </w:tc>
      </w:tr>
    </w:tbl>
    <w:p>
      <w:pPr/>
    </w:p>
    <w:p>
      <w:pPr>
        <w:spacing w:before="160" w:after="100"/>
        <w:jc w:val="left"/>
        <w:shd w:fill="EDEDED" w:val="clear"/>
        <w:pBdr>
          <w:bottom w:val="single" w:sz="6" w:space="3" w:color="BFBFBF"/>
        </w:pBdr>
      </w:pPr>
      <w:r>
        <w:rPr>
          <w:rFonts w:ascii="微软雅黑" w:hAnsi="微软雅黑" w:eastAsia="微软雅黑"/>
          <w:b/>
          <w:color w:val="000000"/>
          <w:sz w:val="24"/>
        </w:rPr>
        <w:t>2.14 概要验收边界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验收类别</w:t>
            </w:r>
          </w:p>
        </w:tc>
        <w:tc>
          <w:tcPr>
            <w:tcW w:type="dxa" w:w="5760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概要验收点</w:t>
            </w:r>
          </w:p>
        </w:tc>
        <w:tc>
          <w:tcPr>
            <w:tcW w:type="dxa" w:w="5040"/>
            <w:shd w:fill="EDEDED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通过标准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业务范围</w:t>
            </w:r>
          </w:p>
        </w:tc>
        <w:tc>
          <w:tcPr>
            <w:tcW w:type="dxa" w:w="57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批记录模板、路线绑定、批次执行、工作任务、填写审计、归档追溯均纳入。</w:t>
            </w:r>
          </w:p>
        </w:tc>
        <w:tc>
          <w:tcPr>
            <w:tcW w:type="dxa" w:w="504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需求范围与模块划分一致，无遗漏核心业务链路。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配置边界</w:t>
            </w:r>
          </w:p>
        </w:tc>
        <w:tc>
          <w:tcPr>
            <w:tcW w:type="dxa" w:w="57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批记录表单、表单槽位、工序开始三类配置独立表达。</w:t>
            </w:r>
          </w:p>
        </w:tc>
        <w:tc>
          <w:tcPr>
            <w:tcW w:type="dxa" w:w="504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任一页面、接口或报表不得混用三类配置来源。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流程完整性</w:t>
            </w:r>
          </w:p>
        </w:tc>
        <w:tc>
          <w:tcPr>
            <w:tcW w:type="dxa" w:w="57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从模板发布到批次归档形成闭环。</w:t>
            </w:r>
          </w:p>
        </w:tc>
        <w:tc>
          <w:tcPr>
            <w:tcW w:type="dxa" w:w="504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每个主流程均有输入、输出、状态变化和异常处理。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数据一致性</w:t>
            </w:r>
          </w:p>
        </w:tc>
        <w:tc>
          <w:tcPr>
            <w:tcW w:type="dxa" w:w="57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执行记录、任务、审计、归档按同一批次上下文关联。</w:t>
            </w:r>
          </w:p>
        </w:tc>
        <w:tc>
          <w:tcPr>
            <w:tcW w:type="dxa" w:w="504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查询结果、详情页、归档文件和审计记录互相一致。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交付可维护性</w:t>
            </w:r>
          </w:p>
        </w:tc>
        <w:tc>
          <w:tcPr>
            <w:tcW w:type="dxa" w:w="576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模块职责清晰，接口分组清晰，异常口径清晰。</w:t>
            </w:r>
          </w:p>
        </w:tc>
        <w:tc>
          <w:tcPr>
            <w:tcW w:type="dxa" w:w="5040"/>
            <w:vAlign w:val="top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后续详细设计可直接落到接口、服务、数据表和页面组件。</w:t>
            </w:r>
          </w:p>
        </w:tc>
      </w:tr>
    </w:tbl>
    <w:p>
      <w:pPr/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EDHR 批记录系统设计文档 | 反向设计基线 | 2026-07-28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EDHR 批记录系统概要设计说明书</dc:title>
  <dc:subject>电子批记录系统建设概要设计说明</dc:subject>
  <dc:creator>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