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c62a7cb399c42e1" /><Relationship Type="http://schemas.openxmlformats.org/package/2006/relationships/metadata/core-properties" Target="/docProps/core.xml" Id="Ra2577708a4c24f0e" /><Relationship Type="http://schemas.openxmlformats.org/officeDocument/2006/relationships/extended-properties" Target="/docProps/app.xml" Id="R7a62a203e8e14e33" /><Relationship Type="http://schemas.openxmlformats.org/officeDocument/2006/relationships/custom-properties" Target="/docProps/custom.xml" Id="R25c61518393c49c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360" w:after="120" w:line="300" w:lineRule="auto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 xml:space="preserve">PQ 性能确认方案与记录</w:t>
      </w:r>
    </w:p>
    <w:p w14:paraId="00100002" w14:textId="00100003">
      <w:pPr>
        <w:pStyle w:val="Normal"/>
        <w:spacing w:before="0" w:after="280" w:line="300" w:lineRule="auto"/>
        <w:jc w:val="center"/>
      </w:pPr>
      <w:r>
        <w:rPr>
          <w:rFonts w:ascii="Microsoft YaHei" w:hAnsi="Microsoft YaHei" w:eastAsia="Microsoft YaHei"/>
          <w:color w:val="333333"/>
          <w:sz w:val="26"/>
        </w:rPr>
        <w:t xml:space="preserve">IntRuoyi 计算机化系统验证正式送审分册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文件控制"/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04" w14:textId="00100020"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06" w14:textId="00100021">
            <w:r>
              <w:rPr>
                <w:b/>
                <w:color w:val="FFFFFF"/>
              </w:rPr>
              <w:t xml:space="preserve">内容</w:t>
            </w:r>
          </w:p>
        </w:tc>
      </w:tr>
      <w:tr>
        <w:trPr/>
        <w:tc>
          <w:p w14:paraId="00100008" w14:textId="00100009">
            <w:r>
              <w:t xml:space="preserve">系统名称</w:t>
            </w:r>
          </w:p>
        </w:tc>
        <w:tc>
          <w:p w14:paraId="0010000A" w14:textId="0010000B">
            <w:r>
              <w:t xml:space="preserve">IntRuoyi GxP 生产质量与文控系统</w:t>
            </w:r>
          </w:p>
        </w:tc>
      </w:tr>
      <w:tr>
        <w:trPr/>
        <w:tc>
          <w:tcPr>
            <w:shd w:val="clear" w:fill="F3F6FA"/>
          </w:tcPr>
          <w:p w14:paraId="0010000C" w14:textId="0010000D">
            <w:r>
              <w:t xml:space="preserve">文件编号</w:t>
            </w:r>
          </w:p>
        </w:tc>
        <w:tc>
          <w:tcPr>
            <w:shd w:val="clear" w:fill="F3F6FA"/>
          </w:tcPr>
          <w:p w14:paraId="0010000E" w14:textId="0010000F">
            <w:r>
              <w:t xml:space="preserve">CSV INT 二零二六零九零九 零八</w:t>
            </w:r>
          </w:p>
        </w:tc>
      </w:tr>
      <w:tr>
        <w:trPr/>
        <w:tc>
          <w:p w14:paraId="00100010" w14:textId="00100011">
            <w:r>
              <w:t xml:space="preserve">版本</w:t>
            </w:r>
          </w:p>
        </w:tc>
        <w:tc>
          <w:p w14:paraId="00100012" w14:textId="00100013">
            <w:r>
              <w:t xml:space="preserve">V1.0 待企业签章</w:t>
            </w:r>
          </w:p>
        </w:tc>
      </w:tr>
      <w:tr>
        <w:trPr/>
        <w:tc>
          <w:tcPr>
            <w:shd w:val="clear" w:fill="F3F6FA"/>
          </w:tcPr>
          <w:p w14:paraId="00100014" w14:textId="00100015">
            <w:r>
              <w:t xml:space="preserve">文件状态</w:t>
            </w:r>
          </w:p>
        </w:tc>
        <w:tc>
          <w:tcPr>
            <w:shd w:val="clear" w:fill="F3F6FA"/>
          </w:tcPr>
          <w:p w14:paraId="00100016" w14:textId="00100017">
            <w:r>
              <w:t xml:space="preserve">正式送审流转版。真实签字和执行证据由企业补齐后对外提交。</w:t>
            </w:r>
          </w:p>
        </w:tc>
      </w:tr>
      <w:tr>
        <w:trPr/>
        <w:tc>
          <w:p w14:paraId="00100018" w14:textId="00100019">
            <w:r>
              <w:t xml:space="preserve">文件责任</w:t>
            </w:r>
          </w:p>
        </w:tc>
        <w:tc>
          <w:p w14:paraId="0010001A" w14:textId="0010001B">
            <w:r>
              <w:t xml:space="preserve">业务负责人、验证负责人、QA</w:t>
            </w:r>
          </w:p>
        </w:tc>
      </w:tr>
      <w:tr>
        <w:trPr/>
        <w:tc>
          <w:tcPr>
            <w:shd w:val="clear" w:fill="F3F6FA"/>
          </w:tcPr>
          <w:p w14:paraId="0010001C" w14:textId="0010001D">
            <w:r>
              <w:t xml:space="preserve">编制日期</w:t>
            </w:r>
          </w:p>
        </w:tc>
        <w:tc>
          <w:tcPr>
            <w:shd w:val="clear" w:fill="F3F6FA"/>
          </w:tcPr>
          <w:p w14:paraId="0010001E" w14:textId="0010001F">
            <w:r>
              <w:t xml:space="preserve">二零二六年九月九日</w:t>
            </w:r>
          </w:p>
        </w:tc>
      </w:tr>
    </w:tbl>
    <w:p w14:paraId="00100022" w14:textId="00100023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一、目的</w:t>
      </w:r>
    </w:p>
    <w:p w14:paraId="00100024" w14:textId="00100025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确认系统在真实或经 QA 批准的代表性生产数据、真实角色和业务流程下适合预期用途。</w:t>
      </w:r>
    </w:p>
    <w:p w14:paraId="00100026" w14:textId="00100027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二、PQ 场景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PQ 场景"/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028" w14:textId="00100064">
            <w:r>
              <w:rPr>
                <w:b/>
                <w:color w:val="FFFFFF"/>
              </w:rPr>
              <w:t xml:space="preserve">PQ 编号</w:t>
            </w:r>
          </w:p>
        </w:tc>
        <w:tc>
          <w:tcPr>
            <w:shd w:val="clear" w:fill="1F4E79"/>
          </w:tcPr>
          <w:p w14:paraId="0010002A" w14:textId="00100065">
            <w:r>
              <w:rPr>
                <w:b/>
                <w:color w:val="FFFFFF"/>
              </w:rPr>
              <w:t xml:space="preserve">业务场景</w:t>
            </w:r>
          </w:p>
        </w:tc>
        <w:tc>
          <w:tcPr>
            <w:shd w:val="clear" w:fill="1F4E79"/>
          </w:tcPr>
          <w:p w14:paraId="0010002C" w14:textId="00100066">
            <w:r>
              <w:rPr>
                <w:b/>
                <w:color w:val="FFFFFF"/>
              </w:rPr>
              <w:t xml:space="preserve">数据要求</w:t>
            </w:r>
          </w:p>
        </w:tc>
        <w:tc>
          <w:tcPr>
            <w:shd w:val="clear" w:fill="1F4E79"/>
          </w:tcPr>
          <w:p w14:paraId="0010002E" w14:textId="00100067">
            <w:r>
              <w:rPr>
                <w:b/>
                <w:color w:val="FFFFFF"/>
              </w:rPr>
              <w:t xml:space="preserve">验收准则</w:t>
            </w:r>
          </w:p>
        </w:tc>
        <w:tc>
          <w:tcPr>
            <w:shd w:val="clear" w:fill="1F4E79"/>
          </w:tcPr>
          <w:p w14:paraId="00100030" w14:textId="00100068">
            <w:r>
              <w:rPr>
                <w:b/>
                <w:color w:val="FFFFFF"/>
              </w:rPr>
              <w:t xml:space="preserve">实际结果</w:t>
            </w:r>
          </w:p>
        </w:tc>
      </w:tr>
      <w:tr>
        <w:trPr/>
        <w:tc>
          <w:p w14:paraId="00100032" w14:textId="00100033">
            <w:r>
              <w:t xml:space="preserve">PQ 一</w:t>
            </w:r>
          </w:p>
        </w:tc>
        <w:tc>
          <w:p w14:paraId="00100034" w14:textId="00100035">
            <w:r>
              <w:t xml:space="preserve">端到端生产批记录。</w:t>
            </w:r>
          </w:p>
        </w:tc>
        <w:tc>
          <w:p w14:paraId="00100036" w14:textId="00100037">
            <w:r>
              <w:t xml:space="preserve">代表性产品、路线、工序、设备、物料、人员和检验。</w:t>
            </w:r>
          </w:p>
        </w:tc>
        <w:tc>
          <w:p w14:paraId="00100038" w14:textId="00100039">
            <w:r>
              <w:t xml:space="preserve">从活跃订单到放行全链路通过。</w:t>
            </w:r>
          </w:p>
        </w:tc>
        <w:tc>
          <w:p w14:paraId="0010003A" w14:textId="0010003B"/>
        </w:tc>
      </w:tr>
      <w:tr>
        <w:trPr/>
        <w:tc>
          <w:tcPr>
            <w:shd w:val="clear" w:fill="F3F6FA"/>
          </w:tcPr>
          <w:p w14:paraId="0010003C" w14:textId="0010003D">
            <w:r>
              <w:t xml:space="preserve">PQ 二</w:t>
            </w:r>
          </w:p>
        </w:tc>
        <w:tc>
          <w:tcPr>
            <w:shd w:val="clear" w:fill="F3F6FA"/>
          </w:tcPr>
          <w:p w14:paraId="0010003E" w14:textId="0010003F">
            <w:r>
              <w:t xml:space="preserve">DCC 和注册证真实业务流程。</w:t>
            </w:r>
          </w:p>
        </w:tc>
        <w:tc>
          <w:tcPr>
            <w:shd w:val="clear" w:fill="F3F6FA"/>
          </w:tcPr>
          <w:p w14:paraId="00100040" w14:textId="00100041">
            <w:r>
              <w:t xml:space="preserve">代表性文件、注册证、审批人、发布人和查看人。</w:t>
            </w:r>
          </w:p>
        </w:tc>
        <w:tc>
          <w:tcPr>
            <w:shd w:val="clear" w:fill="F3F6FA"/>
          </w:tcPr>
          <w:p w14:paraId="00100042" w14:textId="00100043">
            <w:r>
              <w:t xml:space="preserve">生命周期、权限和历史版本正确。</w:t>
            </w:r>
          </w:p>
        </w:tc>
        <w:tc>
          <w:tcPr>
            <w:shd w:val="clear" w:fill="F3F6FA"/>
          </w:tcPr>
          <w:p w14:paraId="00100044" w14:textId="00100045"/>
        </w:tc>
      </w:tr>
      <w:tr>
        <w:trPr/>
        <w:tc>
          <w:p w14:paraId="00100046" w14:textId="00100047">
            <w:r>
              <w:t xml:space="preserve">PQ 三</w:t>
            </w:r>
          </w:p>
        </w:tc>
        <w:tc>
          <w:p w14:paraId="00100048" w14:textId="00100049">
            <w:r>
              <w:t xml:space="preserve">性能容量。</w:t>
            </w:r>
          </w:p>
        </w:tc>
        <w:tc>
          <w:p w14:paraId="0010004A" w14:textId="0010004B">
            <w:r>
              <w:t xml:space="preserve">经业务批准的数据量、并发量、导出量和审计量。</w:t>
            </w:r>
          </w:p>
        </w:tc>
        <w:tc>
          <w:p w14:paraId="0010004C" w14:textId="0010004D">
            <w:r>
              <w:t xml:space="preserve">响应时间、错误率和导出时间符合批准标准。</w:t>
            </w:r>
          </w:p>
        </w:tc>
        <w:tc>
          <w:p w14:paraId="0010004E" w14:textId="0010004F"/>
        </w:tc>
      </w:tr>
      <w:tr>
        <w:trPr/>
        <w:tc>
          <w:tcPr>
            <w:shd w:val="clear" w:fill="F3F6FA"/>
          </w:tcPr>
          <w:p w14:paraId="00100050" w14:textId="00100051">
            <w:r>
              <w:t xml:space="preserve">PQ 四</w:t>
            </w:r>
          </w:p>
        </w:tc>
        <w:tc>
          <w:tcPr>
            <w:shd w:val="clear" w:fill="F3F6FA"/>
          </w:tcPr>
          <w:p w14:paraId="00100052" w14:textId="00100053">
            <w:r>
              <w:t xml:space="preserve">备份恢复演练。</w:t>
            </w:r>
          </w:p>
        </w:tc>
        <w:tc>
          <w:tcPr>
            <w:shd w:val="clear" w:fill="F3F6FA"/>
          </w:tcPr>
          <w:p w14:paraId="00100054" w14:textId="00100055">
            <w:r>
              <w:t xml:space="preserve">全量与增量链，包含对象新增、修改、删除。</w:t>
            </w:r>
          </w:p>
        </w:tc>
        <w:tc>
          <w:tcPr>
            <w:shd w:val="clear" w:fill="F3F6FA"/>
          </w:tcPr>
          <w:p w14:paraId="00100056" w14:textId="00100057">
            <w:r>
              <w:t xml:space="preserve">测试槽位恢复并形成通过报告。</w:t>
            </w:r>
          </w:p>
        </w:tc>
        <w:tc>
          <w:tcPr>
            <w:shd w:val="clear" w:fill="F3F6FA"/>
          </w:tcPr>
          <w:p w14:paraId="00100058" w14:textId="00100059"/>
        </w:tc>
      </w:tr>
      <w:tr>
        <w:trPr/>
        <w:tc>
          <w:p w14:paraId="0010005A" w14:textId="0010005B">
            <w:r>
              <w:t xml:space="preserve">PQ 五</w:t>
            </w:r>
          </w:p>
        </w:tc>
        <w:tc>
          <w:p w14:paraId="0010005C" w14:textId="0010005D">
            <w:r>
              <w:t xml:space="preserve">周期审查。</w:t>
            </w:r>
          </w:p>
        </w:tc>
        <w:tc>
          <w:p w14:paraId="0010005E" w14:textId="0010005F">
            <w:r>
              <w:t xml:space="preserve">一个季度或模拟周期审查数据。</w:t>
            </w:r>
          </w:p>
        </w:tc>
        <w:tc>
          <w:p w14:paraId="00100060" w14:textId="00100061">
            <w:r>
              <w:t xml:space="preserve">审查批次、发现项和关闭记录可追溯。</w:t>
            </w:r>
          </w:p>
        </w:tc>
        <w:tc>
          <w:p w14:paraId="00100062" w14:textId="00100063"/>
        </w:tc>
      </w:tr>
    </w:tbl>
    <w:p w14:paraId="00100069" w14:textId="0010006A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三、代表性数据批准</w:t>
      </w:r>
    </w:p>
    <w:p w14:paraId="0010006B" w14:textId="0010006C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PQ 数据集必须由业务负责人和 QA 批准。未经批准的样例数据、空数据、模拟成功或仅接口调用不能替代 PQ。</w:t>
      </w:r>
    </w:p>
    <w:p w14:paraId="0010006D" w14:textId="0010006E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批准页</w:t>
      </w:r>
    </w:p>
    <w:p w14:paraId="0010006F" w14:textId="00100070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本页用于企业正式签署。签署前应确认本文件所引用的原始记录、测试记录、偏差关闭、培训记录和供应商资料均已归档。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批准页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071" w14:textId="001000B9">
            <w:r>
              <w:rPr>
                <w:b/>
                <w:color w:val="FFFFFF"/>
              </w:rPr>
              <w:t xml:space="preserve">职责</w:t>
            </w:r>
          </w:p>
        </w:tc>
        <w:tc>
          <w:tcPr>
            <w:shd w:val="clear" w:fill="1F4E79"/>
          </w:tcPr>
          <w:p w14:paraId="00100073" w14:textId="001000BA">
            <w:r>
              <w:rPr>
                <w:b/>
                <w:color w:val="FFFFFF"/>
              </w:rPr>
              <w:t xml:space="preserve">姓名</w:t>
            </w:r>
          </w:p>
        </w:tc>
        <w:tc>
          <w:tcPr>
            <w:shd w:val="clear" w:fill="1F4E79"/>
          </w:tcPr>
          <w:p w14:paraId="00100075" w14:textId="001000BB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077" w14:textId="001000BC">
            <w:r>
              <w:rPr>
                <w:b/>
                <w:color w:val="FFFFFF"/>
              </w:rPr>
              <w:t xml:space="preserve">审批意见</w:t>
            </w:r>
          </w:p>
        </w:tc>
        <w:tc>
          <w:tcPr>
            <w:shd w:val="clear" w:fill="1F4E79"/>
          </w:tcPr>
          <w:p w14:paraId="00100079" w14:textId="001000BD">
            <w:r>
              <w:rPr>
                <w:b/>
                <w:color w:val="FFFFFF"/>
              </w:rPr>
              <w:t xml:space="preserve">签字</w:t>
            </w:r>
          </w:p>
        </w:tc>
        <w:tc>
          <w:tcPr>
            <w:shd w:val="clear" w:fill="1F4E79"/>
          </w:tcPr>
          <w:p w14:paraId="0010007B" w14:textId="001000BE">
            <w:r>
              <w:rPr>
                <w:b/>
                <w:color w:val="FFFFFF"/>
              </w:rPr>
              <w:t xml:space="preserve">日期</w:t>
            </w:r>
          </w:p>
        </w:tc>
      </w:tr>
      <w:tr>
        <w:trPr/>
        <w:tc>
          <w:p w14:paraId="0010007D" w14:textId="0010007E">
            <w:r>
              <w:t xml:space="preserve">编写</w:t>
            </w:r>
          </w:p>
        </w:tc>
        <w:tc>
          <w:p w14:paraId="0010007F" w14:textId="00100080"/>
        </w:tc>
        <w:tc>
          <w:p w14:paraId="00100081" w14:textId="00100082"/>
        </w:tc>
        <w:tc>
          <w:p w14:paraId="00100083" w14:textId="00100084"/>
        </w:tc>
        <w:tc>
          <w:p w14:paraId="00100085" w14:textId="00100086"/>
        </w:tc>
        <w:tc>
          <w:p w14:paraId="00100087" w14:textId="00100088"/>
        </w:tc>
      </w:tr>
      <w:tr>
        <w:trPr/>
        <w:tc>
          <w:tcPr>
            <w:shd w:val="clear" w:fill="F3F6FA"/>
          </w:tcPr>
          <w:p w14:paraId="00100089" w14:textId="0010008A">
            <w:r>
              <w:t xml:space="preserve">业务审核</w:t>
            </w:r>
          </w:p>
        </w:tc>
        <w:tc>
          <w:tcPr>
            <w:shd w:val="clear" w:fill="F3F6FA"/>
          </w:tcPr>
          <w:p w14:paraId="0010008B" w14:textId="0010008C"/>
        </w:tc>
        <w:tc>
          <w:tcPr>
            <w:shd w:val="clear" w:fill="F3F6FA"/>
          </w:tcPr>
          <w:p w14:paraId="0010008D" w14:textId="0010008E"/>
        </w:tc>
        <w:tc>
          <w:tcPr>
            <w:shd w:val="clear" w:fill="F3F6FA"/>
          </w:tcPr>
          <w:p w14:paraId="0010008F" w14:textId="00100090"/>
        </w:tc>
        <w:tc>
          <w:tcPr>
            <w:shd w:val="clear" w:fill="F3F6FA"/>
          </w:tcPr>
          <w:p w14:paraId="00100091" w14:textId="00100092"/>
        </w:tc>
        <w:tc>
          <w:tcPr>
            <w:shd w:val="clear" w:fill="F3F6FA"/>
          </w:tcPr>
          <w:p w14:paraId="00100093" w14:textId="00100094"/>
        </w:tc>
      </w:tr>
      <w:tr>
        <w:trPr/>
        <w:tc>
          <w:p w14:paraId="00100095" w14:textId="00100096">
            <w:r>
              <w:t xml:space="preserve">IT 审核</w:t>
            </w:r>
          </w:p>
        </w:tc>
        <w:tc>
          <w:p w14:paraId="00100097" w14:textId="00100098"/>
        </w:tc>
        <w:tc>
          <w:p w14:paraId="00100099" w14:textId="0010009A"/>
        </w:tc>
        <w:tc>
          <w:p w14:paraId="0010009B" w14:textId="0010009C"/>
        </w:tc>
        <w:tc>
          <w:p w14:paraId="0010009D" w14:textId="0010009E"/>
        </w:tc>
        <w:tc>
          <w:p w14:paraId="0010009F" w14:textId="001000A0"/>
        </w:tc>
      </w:tr>
      <w:tr>
        <w:trPr/>
        <w:tc>
          <w:tcPr>
            <w:shd w:val="clear" w:fill="F3F6FA"/>
          </w:tcPr>
          <w:p w14:paraId="001000A1" w14:textId="001000A2">
            <w:r>
              <w:t xml:space="preserve">QA 审核</w:t>
            </w:r>
          </w:p>
        </w:tc>
        <w:tc>
          <w:tcPr>
            <w:shd w:val="clear" w:fill="F3F6FA"/>
          </w:tcPr>
          <w:p w14:paraId="001000A3" w14:textId="001000A4"/>
        </w:tc>
        <w:tc>
          <w:tcPr>
            <w:shd w:val="clear" w:fill="F3F6FA"/>
          </w:tcPr>
          <w:p w14:paraId="001000A5" w14:textId="001000A6"/>
        </w:tc>
        <w:tc>
          <w:tcPr>
            <w:shd w:val="clear" w:fill="F3F6FA"/>
          </w:tcPr>
          <w:p w14:paraId="001000A7" w14:textId="001000A8"/>
        </w:tc>
        <w:tc>
          <w:tcPr>
            <w:shd w:val="clear" w:fill="F3F6FA"/>
          </w:tcPr>
          <w:p w14:paraId="001000A9" w14:textId="001000AA"/>
        </w:tc>
        <w:tc>
          <w:tcPr>
            <w:shd w:val="clear" w:fill="F3F6FA"/>
          </w:tcPr>
          <w:p w14:paraId="001000AB" w14:textId="001000AC"/>
        </w:tc>
      </w:tr>
      <w:tr>
        <w:trPr/>
        <w:tc>
          <w:p w14:paraId="001000AD" w14:textId="001000AE">
            <w:r>
              <w:t xml:space="preserve">批准</w:t>
            </w:r>
          </w:p>
        </w:tc>
        <w:tc>
          <w:p w14:paraId="001000AF" w14:textId="001000B0"/>
        </w:tc>
        <w:tc>
          <w:p w14:paraId="001000B1" w14:textId="001000B2"/>
        </w:tc>
        <w:tc>
          <w:p w14:paraId="001000B3" w14:textId="001000B4"/>
        </w:tc>
        <w:tc>
          <w:p w14:paraId="001000B5" w14:textId="001000B6"/>
        </w:tc>
        <w:tc>
          <w:p w14:paraId="001000B7" w14:textId="001000B8"/>
        </w:tc>
      </w:tr>
    </w:tbl>
    <w:sectPr>
      <w:footerReference w:type="default" r:id="R7cfc468a2c5c457d"/>
      <w:pgSz w:w="11906" w:h="16838"/>
      <w:pgMar w:top="1247" w:right="1191" w:bottom="1134" w:left="119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BF" w14:textId="001000C1">
    <w:pPr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rPr>
        <w:rFonts w:ascii="Microsoft YaHei" w:hAnsi="Microsoft YaHei" w:eastAsia="Microsoft YaHei"/>
        <w:sz w:val="18"/>
      </w:rPr>
      <w:fldChar w:fldCharType="begin"/>
    </w:r>
    <w:r>
      <w:rPr>
        <w:rFonts w:ascii="Microsoft YaHei" w:hAnsi="Microsoft YaHei" w:eastAsia="Microsoft YaHei"/>
        <w:sz w:val="18"/>
      </w:rPr>
      <w:instrText xml:space="preserve"> PAGE </w:instrText>
    </w:r>
    <w:r>
      <w:rPr>
        <w:rFonts w:ascii="Microsoft YaHei" w:hAnsi="Microsoft YaHei" w:eastAsia="Microsoft YaHei"/>
        <w:sz w:val="18"/>
      </w:rPr>
      <w:fldChar w:fldCharType="separate"/>
    </w:r>
    <w:r>
      <w:rPr>
        <w:rFonts w:ascii="Microsoft YaHei" w:hAnsi="Microsoft YaHei" w:eastAsia="Microsoft YaHei"/>
        <w:sz w:val="18"/>
      </w:rPr>
      <w:t xml:space="preserve">1</w:t>
    </w:r>
    <w:r>
      <w:rPr>
        <w:rFonts w:ascii="Microsoft YaHei" w:hAnsi="Microsoft YaHei" w:eastAsia="Microsoft YaHei"/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d8f651611e74a93" /><Relationship Type="http://schemas.openxmlformats.org/officeDocument/2006/relationships/styles" Target="/word/styles.xml" Id="R0c61beea2baa4848" /><Relationship Type="http://schemas.openxmlformats.org/officeDocument/2006/relationships/theme" Target="/word/theme/theme1.xml" Id="Re9d0612a593a4153" /><Relationship Type="http://schemas.openxmlformats.org/officeDocument/2006/relationships/numbering" Target="/word/numbering.xml" Id="Rc848e8a1be7a4a0d" /><Relationship Type="http://schemas.openxmlformats.org/officeDocument/2006/relationships/footer" Target="/word/footer1.xml" Id="R7cfc468a2c5c45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Codex</dc:creator>
  <dcterms:created xsi:type="dcterms:W3CDTF">2026-09-08T16:38:13.0000000Z</dcterms:created>
  <lastModifiedBy>OfficeCLI</lastModifiedBy>
  <dcterms:modified xsi:type="dcterms:W3CDTF">2026-09-08T16:38:13.0000000Z</dcterms:modified>
  <dc:description>IntRuoyi 计算机化系统验证正式送审分册，待企业签章和原始证据补齐后提交。</dc:description>
  <dc:subject>IntRuoyi CSV 正式送审分册</dc:subject>
  <keywords>CSV,GxP,计算机化系统验证,送审分册</keywords>
  <dc:title>PQ 性能确认方案与记录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2026-09-08T16:38:38Z</vt:lpwstr>
  </op:property>
</op:Properties>
</file>