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257a2f1c13b4d41" /><Relationship Type="http://schemas.openxmlformats.org/package/2006/relationships/metadata/core-properties" Target="/docProps/core.xml" Id="Rc56830feada64069" /><Relationship Type="http://schemas.openxmlformats.org/officeDocument/2006/relationships/extended-properties" Target="/docProps/app.xml" Id="R3cef380234904a5f" /><Relationship Type="http://schemas.openxmlformats.org/officeDocument/2006/relationships/custom-properties" Target="/docProps/custom.xml" Id="R3b1529c8b3574ef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偏差 CAPA 与问题关闭台账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十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QA、验证负责人、责任部门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规范 CSV 执行过程中的偏差登记、根因调查、影响评估、纠正预防措施、复测和 QA 关闭。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二、当前问题登记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当前问题登记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28" w14:textId="0010005A">
            <w:r>
              <w:rPr>
                <w:b/>
                <w:color w:val="FFFFFF"/>
              </w:rPr>
              <w:t xml:space="preserve">偏差编号</w:t>
            </w:r>
          </w:p>
        </w:tc>
        <w:tc>
          <w:tcPr>
            <w:shd w:val="clear" w:fill="1F4E79"/>
          </w:tcPr>
          <w:p w14:paraId="0010002A" w14:textId="0010005B">
            <w:r>
              <w:rPr>
                <w:b/>
                <w:color w:val="FFFFFF"/>
              </w:rPr>
              <w:t xml:space="preserve">问题</w:t>
            </w:r>
          </w:p>
        </w:tc>
        <w:tc>
          <w:tcPr>
            <w:shd w:val="clear" w:fill="1F4E79"/>
          </w:tcPr>
          <w:p w14:paraId="0010002C" w14:textId="0010005C"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shd w:val="clear" w:fill="1F4E79"/>
          </w:tcPr>
          <w:p w14:paraId="0010002E" w14:textId="0010005D">
            <w:r>
              <w:rPr>
                <w:b/>
                <w:color w:val="FFFFFF"/>
              </w:rPr>
              <w:t xml:space="preserve">关闭要求</w:t>
            </w:r>
          </w:p>
        </w:tc>
        <w:tc>
          <w:tcPr>
            <w:shd w:val="clear" w:fill="1F4E79"/>
          </w:tcPr>
          <w:p w14:paraId="00100030" w14:textId="0010005E">
            <w:r>
              <w:rPr>
                <w:b/>
                <w:color w:val="FFFFFF"/>
              </w:rPr>
              <w:t xml:space="preserve">状态</w:t>
            </w:r>
          </w:p>
        </w:tc>
      </w:tr>
      <w:tr>
        <w:trPr/>
        <w:tc>
          <w:p w14:paraId="00100032" w14:textId="00100033">
            <w:r>
              <w:t xml:space="preserve">DEV 一</w:t>
            </w:r>
          </w:p>
        </w:tc>
        <w:tc>
          <w:p w14:paraId="00100034" w14:textId="00100035">
            <w:r>
              <w:t xml:space="preserve">风险评估和验证计划未完成企业 QA 批准。</w:t>
            </w:r>
          </w:p>
        </w:tc>
        <w:tc>
          <w:p w14:paraId="00100036" w14:textId="00100037">
            <w:r>
              <w:t xml:space="preserve">重大</w:t>
            </w:r>
          </w:p>
        </w:tc>
        <w:tc>
          <w:p w14:paraId="00100038" w14:textId="00100039">
            <w:r>
              <w:t xml:space="preserve">批准受控版本。</w:t>
            </w:r>
          </w:p>
        </w:tc>
        <w:tc>
          <w:p w14:paraId="0010003A" w14:textId="0010003B">
            <w:r>
              <w:t xml:space="preserve">开放</w:t>
            </w:r>
          </w:p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DEV 二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IQ、OQ、PQ 尚无执行记录。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关键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执行并归档原始证据。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开放</w:t>
            </w:r>
          </w:p>
        </w:tc>
      </w:tr>
      <w:tr>
        <w:trPr/>
        <w:tc>
          <w:p w14:paraId="00100046" w14:textId="00100047">
            <w:r>
              <w:t xml:space="preserve">DEV 三</w:t>
            </w:r>
          </w:p>
        </w:tc>
        <w:tc>
          <w:p w14:paraId="00100048" w14:textId="00100049">
            <w:r>
              <w:t xml:space="preserve">供应商评估、培训、周期回顾和接口验证证据不足。</w:t>
            </w:r>
          </w:p>
        </w:tc>
        <w:tc>
          <w:p w14:paraId="0010004A" w14:textId="0010004B">
            <w:r>
              <w:t xml:space="preserve">重大</w:t>
            </w:r>
          </w:p>
        </w:tc>
        <w:tc>
          <w:p w14:paraId="0010004C" w14:textId="0010004D">
            <w:r>
              <w:t xml:space="preserve">补齐 QMS 证据。</w:t>
            </w:r>
          </w:p>
        </w:tc>
        <w:tc>
          <w:p w14:paraId="0010004E" w14:textId="0010004F">
            <w:r>
              <w:t xml:space="preserve">开放</w:t>
            </w:r>
          </w:p>
        </w:tc>
      </w:tr>
      <w:tr>
        <w:trPr/>
        <w:tc>
          <w:tcPr>
            <w:shd w:val="clear" w:fill="F3F6FA"/>
          </w:tcPr>
          <w:p w14:paraId="00100050" w14:textId="00100051">
            <w:r>
              <w:t xml:space="preserve">DEV 四</w:t>
            </w:r>
          </w:p>
        </w:tc>
        <w:tc>
          <w:tcPr>
            <w:shd w:val="clear" w:fill="F3F6FA"/>
          </w:tcPr>
          <w:p w14:paraId="00100052" w14:textId="00100053">
            <w:r>
              <w:t xml:space="preserve">验证总结报告未授权签字。</w:t>
            </w:r>
          </w:p>
        </w:tc>
        <w:tc>
          <w:tcPr>
            <w:shd w:val="clear" w:fill="F3F6FA"/>
          </w:tcPr>
          <w:p w14:paraId="00100054" w14:textId="00100055">
            <w:r>
              <w:t xml:space="preserve">关键</w:t>
            </w:r>
          </w:p>
        </w:tc>
        <w:tc>
          <w:tcPr>
            <w:shd w:val="clear" w:fill="F3F6FA"/>
          </w:tcPr>
          <w:p w14:paraId="00100056" w14:textId="00100057">
            <w:r>
              <w:t xml:space="preserve">完成业务、IT、QA、验证负责人审批。</w:t>
            </w:r>
          </w:p>
        </w:tc>
        <w:tc>
          <w:tcPr>
            <w:shd w:val="clear" w:fill="F3F6FA"/>
          </w:tcPr>
          <w:p w14:paraId="00100058" w14:textId="00100059">
            <w:r>
              <w:t xml:space="preserve">开放</w:t>
            </w:r>
          </w:p>
        </w:tc>
      </w:tr>
    </w:tbl>
    <w:p w14:paraId="0010005F" w14:textId="0010006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三、关闭规则</w:t>
      </w:r>
    </w:p>
    <w:p w14:paraId="00100061" w14:textId="00100062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不得以工程测试通过、管理员确认可以使用或代码已实现直接关闭 CSV 偏差。</w:t>
      </w:r>
    </w:p>
    <w:p w14:paraId="00100063" w14:textId="00100064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关键或重大偏差关闭前，不得批准验证总结报告。</w:t>
      </w:r>
    </w:p>
    <w:p w14:paraId="00100065" w14:textId="00100066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每项 CAPA 应有责任人、完成日期、复测证据和 QA 关闭意见。</w:t>
      </w:r>
    </w:p>
    <w:p w14:paraId="00100067" w14:textId="00100068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69" w14:textId="0010006A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6B" w14:textId="001000B3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6D" w14:textId="001000B4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6F" w14:textId="001000B5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71" w14:textId="001000B6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73" w14:textId="001000B7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75" w14:textId="001000B8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77" w14:textId="00100078">
            <w:r>
              <w:t xml:space="preserve">编写</w:t>
            </w:r>
          </w:p>
        </w:tc>
        <w:tc>
          <w:p w14:paraId="00100079" w14:textId="0010007A"/>
        </w:tc>
        <w:tc>
          <w:p w14:paraId="0010007B" w14:textId="0010007C"/>
        </w:tc>
        <w:tc>
          <w:p w14:paraId="0010007D" w14:textId="0010007E"/>
        </w:tc>
        <w:tc>
          <w:p w14:paraId="0010007F" w14:textId="00100080"/>
        </w:tc>
        <w:tc>
          <w:p w14:paraId="00100081" w14:textId="00100082"/>
        </w:tc>
      </w:tr>
      <w:tr>
        <w:trPr/>
        <w:tc>
          <w:tcPr>
            <w:shd w:val="clear" w:fill="F3F6FA"/>
          </w:tcPr>
          <w:p w14:paraId="00100083" w14:textId="00100084">
            <w:r>
              <w:t xml:space="preserve">业务审核</w:t>
            </w:r>
          </w:p>
        </w:tc>
        <w:tc>
          <w:tcPr>
            <w:shd w:val="clear" w:fill="F3F6FA"/>
          </w:tcPr>
          <w:p w14:paraId="00100085" w14:textId="00100086"/>
        </w:tc>
        <w:tc>
          <w:tcPr>
            <w:shd w:val="clear" w:fill="F3F6FA"/>
          </w:tcPr>
          <w:p w14:paraId="00100087" w14:textId="00100088"/>
        </w:tc>
        <w:tc>
          <w:tcPr>
            <w:shd w:val="clear" w:fill="F3F6FA"/>
          </w:tcPr>
          <w:p w14:paraId="00100089" w14:textId="0010008A"/>
        </w:tc>
        <w:tc>
          <w:tcPr>
            <w:shd w:val="clear" w:fill="F3F6FA"/>
          </w:tcPr>
          <w:p w14:paraId="0010008B" w14:textId="0010008C"/>
        </w:tc>
        <w:tc>
          <w:tcPr>
            <w:shd w:val="clear" w:fill="F3F6FA"/>
          </w:tcPr>
          <w:p w14:paraId="0010008D" w14:textId="0010008E"/>
        </w:tc>
      </w:tr>
      <w:tr>
        <w:trPr/>
        <w:tc>
          <w:p w14:paraId="0010008F" w14:textId="00100090">
            <w:r>
              <w:t xml:space="preserve">IT 审核</w:t>
            </w:r>
          </w:p>
        </w:tc>
        <w:tc>
          <w:p w14:paraId="00100091" w14:textId="00100092"/>
        </w:tc>
        <w:tc>
          <w:p w14:paraId="00100093" w14:textId="00100094"/>
        </w:tc>
        <w:tc>
          <w:p w14:paraId="00100095" w14:textId="00100096"/>
        </w:tc>
        <w:tc>
          <w:p w14:paraId="00100097" w14:textId="00100098"/>
        </w:tc>
        <w:tc>
          <w:p w14:paraId="00100099" w14:textId="0010009A"/>
        </w:tc>
      </w:tr>
      <w:tr>
        <w:trPr/>
        <w:tc>
          <w:tcPr>
            <w:shd w:val="clear" w:fill="F3F6FA"/>
          </w:tcPr>
          <w:p w14:paraId="0010009B" w14:textId="0010009C">
            <w:r>
              <w:t xml:space="preserve">QA 审核</w:t>
            </w:r>
          </w:p>
        </w:tc>
        <w:tc>
          <w:tcPr>
            <w:shd w:val="clear" w:fill="F3F6FA"/>
          </w:tcPr>
          <w:p w14:paraId="0010009D" w14:textId="0010009E"/>
        </w:tc>
        <w:tc>
          <w:tcPr>
            <w:shd w:val="clear" w:fill="F3F6FA"/>
          </w:tcPr>
          <w:p w14:paraId="0010009F" w14:textId="001000A0"/>
        </w:tc>
        <w:tc>
          <w:tcPr>
            <w:shd w:val="clear" w:fill="F3F6FA"/>
          </w:tcPr>
          <w:p w14:paraId="001000A1" w14:textId="001000A2"/>
        </w:tc>
        <w:tc>
          <w:tcPr>
            <w:shd w:val="clear" w:fill="F3F6FA"/>
          </w:tcPr>
          <w:p w14:paraId="001000A3" w14:textId="001000A4"/>
        </w:tc>
        <w:tc>
          <w:tcPr>
            <w:shd w:val="clear" w:fill="F3F6FA"/>
          </w:tcPr>
          <w:p w14:paraId="001000A5" w14:textId="001000A6"/>
        </w:tc>
      </w:tr>
      <w:tr>
        <w:trPr/>
        <w:tc>
          <w:p w14:paraId="001000A7" w14:textId="001000A8">
            <w:r>
              <w:t xml:space="preserve">批准</w:t>
            </w:r>
          </w:p>
        </w:tc>
        <w:tc>
          <w:p w14:paraId="001000A9" w14:textId="001000AA"/>
        </w:tc>
        <w:tc>
          <w:p w14:paraId="001000AB" w14:textId="001000AC"/>
        </w:tc>
        <w:tc>
          <w:p w14:paraId="001000AD" w14:textId="001000AE"/>
        </w:tc>
        <w:tc>
          <w:p w14:paraId="001000AF" w14:textId="001000B0"/>
        </w:tc>
        <w:tc>
          <w:p w14:paraId="001000B1" w14:textId="001000B2"/>
        </w:tc>
      </w:tr>
    </w:tbl>
    <w:sectPr>
      <w:footerReference w:type="default" r:id="Ra3445c0ea97743db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9" w14:textId="001000BB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a0b89c566c34177" /><Relationship Type="http://schemas.openxmlformats.org/officeDocument/2006/relationships/styles" Target="/word/styles.xml" Id="Rc13eed4d0bea4769" /><Relationship Type="http://schemas.openxmlformats.org/officeDocument/2006/relationships/theme" Target="/word/theme/theme1.xml" Id="R84c01b9ffe2d4299" /><Relationship Type="http://schemas.openxmlformats.org/officeDocument/2006/relationships/numbering" Target="/word/numbering.xml" Id="R7cb55eca1903482e" /><Relationship Type="http://schemas.openxmlformats.org/officeDocument/2006/relationships/footer" Target="/word/footer1.xml" Id="Ra3445c0ea977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2026-09-08T16:39:21.0000000Z</dcterms:created>
  <lastModifiedBy>OfficeCLI</lastModifiedBy>
  <dcterms:modified xsi:type="dcterms:W3CDTF">2026-09-08T16:39:21.0000000Z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偏差 CAPA 与问题关闭台账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2026-09-08T16:39:54Z</vt:lpwstr>
  </op:property>
</op:Properties>
</file>