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aa890c15814cda" /><Relationship Type="http://schemas.openxmlformats.org/package/2006/relationships/metadata/core-properties" Target="/docProps/core.xml" Id="R45ab3cd68fea40c4" /><Relationship Type="http://schemas.openxmlformats.org/officeDocument/2006/relationships/extended-properties" Target="/docProps/app.xml" Id="R8c3c6607cd184a76" /><Relationship Type="http://schemas.openxmlformats.org/officeDocument/2006/relationships/custom-properties" Target="/docProps/custom.xml" Id="Rc2a0cd79542b478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供应商与外部依赖评估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十一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采购、IT、QA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识别外部系统、平台、开源组件、基础设施和服务商对 GxP 数据的影响，明确责任界面和独立验证要求。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二、供应商和依赖清单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供应商和依赖清单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28" w14:textId="00100058">
            <w:r>
              <w:rPr>
                <w:b/>
                <w:color w:val="FFFFFF"/>
              </w:rPr>
              <w:t xml:space="preserve">编号</w:t>
            </w:r>
          </w:p>
        </w:tc>
        <w:tc>
          <w:tcPr>
            <w:shd w:val="clear" w:fill="1F4E79"/>
          </w:tcPr>
          <w:p w14:paraId="0010002A" w14:textId="00100059">
            <w:r>
              <w:rPr>
                <w:b/>
                <w:color w:val="FFFFFF"/>
              </w:rPr>
              <w:t xml:space="preserve">供应商或依赖</w:t>
            </w:r>
          </w:p>
        </w:tc>
        <w:tc>
          <w:tcPr>
            <w:shd w:val="clear" w:fill="1F4E79"/>
          </w:tcPr>
          <w:p w14:paraId="0010002C" w14:textId="0010005A">
            <w:r>
              <w:rPr>
                <w:b/>
                <w:color w:val="FFFFFF"/>
              </w:rPr>
              <w:t xml:space="preserve">GxP 影响</w:t>
            </w:r>
          </w:p>
        </w:tc>
        <w:tc>
          <w:tcPr>
            <w:shd w:val="clear" w:fill="1F4E79"/>
          </w:tcPr>
          <w:p w14:paraId="0010002E" w14:textId="0010005B">
            <w:r>
              <w:rPr>
                <w:b/>
                <w:color w:val="FFFFFF"/>
              </w:rPr>
              <w:t xml:space="preserve">评估要求</w:t>
            </w:r>
          </w:p>
        </w:tc>
      </w:tr>
      <w:tr>
        <w:trPr/>
        <w:tc>
          <w:p w14:paraId="00100030" w14:textId="00100031">
            <w:r>
              <w:t xml:space="preserve">SUP 一</w:t>
            </w:r>
          </w:p>
        </w:tc>
        <w:tc>
          <w:p w14:paraId="00100032" w14:textId="00100033">
            <w:r>
              <w:t xml:space="preserve">金蝶 ERP</w:t>
            </w:r>
          </w:p>
        </w:tc>
        <w:tc>
          <w:p w14:paraId="00100034" w14:textId="00100035">
            <w:r>
              <w:t xml:space="preserve">生产订单、调拨、物料批次来源。</w:t>
            </w:r>
          </w:p>
        </w:tc>
        <w:tc>
          <w:p w14:paraId="00100036" w14:textId="00100037">
            <w:r>
              <w:t xml:space="preserve">接口协议、变更通知、对账和失败处理。</w:t>
            </w:r>
          </w:p>
        </w:tc>
      </w:tr>
      <w:tr>
        <w:trPr/>
        <w:tc>
          <w:tcPr>
            <w:shd w:val="clear" w:fill="F3F6FA"/>
          </w:tcPr>
          <w:p w14:paraId="00100038" w14:textId="00100039">
            <w:r>
              <w:t xml:space="preserve">SUP 二</w:t>
            </w:r>
          </w:p>
        </w:tc>
        <w:tc>
          <w:tcPr>
            <w:shd w:val="clear" w:fill="F3F6FA"/>
          </w:tcPr>
          <w:p w14:paraId="0010003A" w14:textId="0010003B">
            <w:r>
              <w:t xml:space="preserve">BPM 或 Flowable</w:t>
            </w:r>
          </w:p>
        </w:tc>
        <w:tc>
          <w:tcPr>
            <w:shd w:val="clear" w:fill="F3F6FA"/>
          </w:tcPr>
          <w:p w14:paraId="0010003C" w14:textId="0010003D">
            <w:r>
              <w:t xml:space="preserve">审批流程、任务顺序和签名上下文。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流程验证、回调幂等、审批证据。</w:t>
            </w:r>
          </w:p>
        </w:tc>
      </w:tr>
      <w:tr>
        <w:trPr/>
        <w:tc>
          <w:p w14:paraId="00100040" w14:textId="00100041">
            <w:r>
              <w:t xml:space="preserve">SUP 三</w:t>
            </w:r>
          </w:p>
        </w:tc>
        <w:tc>
          <w:p w14:paraId="00100042" w14:textId="00100043">
            <w:r>
              <w:t xml:space="preserve">MySQL、Redis、对象存储、NAS</w:t>
            </w:r>
          </w:p>
        </w:tc>
        <w:tc>
          <w:p w14:paraId="00100044" w14:textId="00100045">
            <w:r>
              <w:t xml:space="preserve">记录、缓存、文件和备份证据。</w:t>
            </w:r>
          </w:p>
        </w:tc>
        <w:tc>
          <w:p w14:paraId="00100046" w14:textId="00100047">
            <w:r>
              <w:t xml:space="preserve">IQ、权限、备份恢复、留存。</w:t>
            </w:r>
          </w:p>
        </w:tc>
      </w:tr>
      <w:tr>
        <w:trPr/>
        <w:tc>
          <w:tcPr>
            <w:shd w:val="clear" w:fill="F3F6FA"/>
          </w:tcPr>
          <w:p w14:paraId="00100048" w14:textId="00100049">
            <w:r>
              <w:t xml:space="preserve">SUP 四</w:t>
            </w:r>
          </w:p>
        </w:tc>
        <w:tc>
          <w:tcPr>
            <w:shd w:val="clear" w:fill="F3F6FA"/>
          </w:tcPr>
          <w:p w14:paraId="0010004A" w14:textId="0010004B">
            <w:r>
              <w:t xml:space="preserve">报表、文档查看、Word 解析组件</w:t>
            </w:r>
          </w:p>
        </w:tc>
        <w:tc>
          <w:tcPr>
            <w:shd w:val="clear" w:fill="F3F6FA"/>
          </w:tcPr>
          <w:p w14:paraId="0010004C" w14:textId="0010004D">
            <w:r>
              <w:t xml:space="preserve">批记录输出、预览和模板解析。</w:t>
            </w:r>
          </w:p>
        </w:tc>
        <w:tc>
          <w:tcPr>
            <w:shd w:val="clear" w:fill="F3F6FA"/>
          </w:tcPr>
          <w:p w14:paraId="0010004E" w14:textId="0010004F">
            <w:r>
              <w:t xml:space="preserve">版本评估、真实样本和输出一致性。</w:t>
            </w:r>
          </w:p>
        </w:tc>
      </w:tr>
      <w:tr>
        <w:trPr/>
        <w:tc>
          <w:p w14:paraId="00100050" w14:textId="00100051">
            <w:r>
              <w:t xml:space="preserve">SUP 五</w:t>
            </w:r>
          </w:p>
        </w:tc>
        <w:tc>
          <w:p w14:paraId="00100052" w14:textId="00100053">
            <w:r>
              <w:t xml:space="preserve">Java、Spring、Vue、Node 等开源组件</w:t>
            </w:r>
          </w:p>
        </w:tc>
        <w:tc>
          <w:p w14:paraId="00100054" w14:textId="00100055">
            <w:r>
              <w:t xml:space="preserve">支撑系统运行和构建。</w:t>
            </w:r>
          </w:p>
        </w:tc>
        <w:tc>
          <w:p w14:paraId="00100056" w14:textId="00100057">
            <w:r>
              <w:t xml:space="preserve">版本锁定、安全漏洞和生命周期评估。</w:t>
            </w:r>
          </w:p>
        </w:tc>
      </w:tr>
    </w:tbl>
    <w:p w14:paraId="0010005C" w14:textId="0010005D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三、供应商评估结论</w:t>
      </w:r>
    </w:p>
    <w:p w14:paraId="0010005E" w14:textId="0010005F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正式提交前应补齐供应商问卷、质量协议、服务级别、版本声明、漏洞评估、外部变更通知机制和内部独立验证结果。仅有供应商声明不足以关闭接口和供应链风险。</w:t>
      </w:r>
    </w:p>
    <w:p w14:paraId="00100060" w14:textId="00100061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62" w14:textId="00100063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64" w14:textId="001000AC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66" w14:textId="001000AD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68" w14:textId="001000AE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6A" w14:textId="001000AF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6C" w14:textId="001000B0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6E" w14:textId="001000B1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70" w14:textId="00100071">
            <w:r>
              <w:t xml:space="preserve">编写</w:t>
            </w:r>
          </w:p>
        </w:tc>
        <w:tc>
          <w:p w14:paraId="00100072" w14:textId="00100073"/>
        </w:tc>
        <w:tc>
          <w:p w14:paraId="00100074" w14:textId="00100075"/>
        </w:tc>
        <w:tc>
          <w:p w14:paraId="00100076" w14:textId="00100077"/>
        </w:tc>
        <w:tc>
          <w:p w14:paraId="00100078" w14:textId="00100079"/>
        </w:tc>
        <w:tc>
          <w:p w14:paraId="0010007A" w14:textId="0010007B"/>
        </w:tc>
      </w:tr>
      <w:tr>
        <w:trPr/>
        <w:tc>
          <w:tcPr>
            <w:shd w:val="clear" w:fill="F3F6FA"/>
          </w:tcPr>
          <w:p w14:paraId="0010007C" w14:textId="0010007D">
            <w:r>
              <w:t xml:space="preserve">业务审核</w:t>
            </w:r>
          </w:p>
        </w:tc>
        <w:tc>
          <w:tcPr>
            <w:shd w:val="clear" w:fill="F3F6FA"/>
          </w:tcPr>
          <w:p w14:paraId="0010007E" w14:textId="0010007F"/>
        </w:tc>
        <w:tc>
          <w:tcPr>
            <w:shd w:val="clear" w:fill="F3F6FA"/>
          </w:tcPr>
          <w:p w14:paraId="00100080" w14:textId="00100081"/>
        </w:tc>
        <w:tc>
          <w:tcPr>
            <w:shd w:val="clear" w:fill="F3F6FA"/>
          </w:tcPr>
          <w:p w14:paraId="00100082" w14:textId="00100083"/>
        </w:tc>
        <w:tc>
          <w:tcPr>
            <w:shd w:val="clear" w:fill="F3F6FA"/>
          </w:tcPr>
          <w:p w14:paraId="00100084" w14:textId="00100085"/>
        </w:tc>
        <w:tc>
          <w:tcPr>
            <w:shd w:val="clear" w:fill="F3F6FA"/>
          </w:tcPr>
          <w:p w14:paraId="00100086" w14:textId="00100087"/>
        </w:tc>
      </w:tr>
      <w:tr>
        <w:trPr/>
        <w:tc>
          <w:p w14:paraId="00100088" w14:textId="00100089">
            <w:r>
              <w:t xml:space="preserve">IT 审核</w:t>
            </w:r>
          </w:p>
        </w:tc>
        <w:tc>
          <w:p w14:paraId="0010008A" w14:textId="0010008B"/>
        </w:tc>
        <w:tc>
          <w:p w14:paraId="0010008C" w14:textId="0010008D"/>
        </w:tc>
        <w:tc>
          <w:p w14:paraId="0010008E" w14:textId="0010008F"/>
        </w:tc>
        <w:tc>
          <w:p w14:paraId="00100090" w14:textId="00100091"/>
        </w:tc>
        <w:tc>
          <w:p w14:paraId="00100092" w14:textId="00100093"/>
        </w:tc>
      </w:tr>
      <w:tr>
        <w:trPr/>
        <w:tc>
          <w:tcPr>
            <w:shd w:val="clear" w:fill="F3F6FA"/>
          </w:tcPr>
          <w:p w14:paraId="00100094" w14:textId="00100095">
            <w:r>
              <w:t xml:space="preserve">QA 审核</w:t>
            </w:r>
          </w:p>
        </w:tc>
        <w:tc>
          <w:tcPr>
            <w:shd w:val="clear" w:fill="F3F6FA"/>
          </w:tcPr>
          <w:p w14:paraId="00100096" w14:textId="00100097"/>
        </w:tc>
        <w:tc>
          <w:tcPr>
            <w:shd w:val="clear" w:fill="F3F6FA"/>
          </w:tcPr>
          <w:p w14:paraId="00100098" w14:textId="00100099"/>
        </w:tc>
        <w:tc>
          <w:tcPr>
            <w:shd w:val="clear" w:fill="F3F6FA"/>
          </w:tcPr>
          <w:p w14:paraId="0010009A" w14:textId="0010009B"/>
        </w:tc>
        <w:tc>
          <w:tcPr>
            <w:shd w:val="clear" w:fill="F3F6FA"/>
          </w:tcPr>
          <w:p w14:paraId="0010009C" w14:textId="0010009D"/>
        </w:tc>
        <w:tc>
          <w:tcPr>
            <w:shd w:val="clear" w:fill="F3F6FA"/>
          </w:tcPr>
          <w:p w14:paraId="0010009E" w14:textId="0010009F"/>
        </w:tc>
      </w:tr>
      <w:tr>
        <w:trPr/>
        <w:tc>
          <w:p w14:paraId="001000A0" w14:textId="001000A1">
            <w:r>
              <w:t xml:space="preserve">批准</w:t>
            </w:r>
          </w:p>
        </w:tc>
        <w:tc>
          <w:p w14:paraId="001000A2" w14:textId="001000A3"/>
        </w:tc>
        <w:tc>
          <w:p w14:paraId="001000A4" w14:textId="001000A5"/>
        </w:tc>
        <w:tc>
          <w:p w14:paraId="001000A6" w14:textId="001000A7"/>
        </w:tc>
        <w:tc>
          <w:p w14:paraId="001000A8" w14:textId="001000A9"/>
        </w:tc>
        <w:tc>
          <w:p w14:paraId="001000AA" w14:textId="001000AB"/>
        </w:tc>
      </w:tr>
    </w:tbl>
    <w:sectPr>
      <w:footerReference w:type="default" r:id="Ref080659949643d0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2" w14:textId="001000B4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1c903b73cb84458" /><Relationship Type="http://schemas.openxmlformats.org/officeDocument/2006/relationships/styles" Target="/word/styles.xml" Id="R61afcf6d4eff4c1e" /><Relationship Type="http://schemas.openxmlformats.org/officeDocument/2006/relationships/theme" Target="/word/theme/theme1.xml" Id="R0f3b13fd0ab04fc5" /><Relationship Type="http://schemas.openxmlformats.org/officeDocument/2006/relationships/numbering" Target="/word/numbering.xml" Id="R009dee97187948c8" /><Relationship Type="http://schemas.openxmlformats.org/officeDocument/2006/relationships/footer" Target="/word/footer1.xml" Id="Ref0806599496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2026-09-08T16:40:04.0000000Z</dcterms:created>
  <lastModifiedBy>OfficeCLI</lastModifiedBy>
  <dcterms:modified xsi:type="dcterms:W3CDTF">2026-09-08T16:40:04.0000000Z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供应商与外部依赖评估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2026-09-08T16:40:15Z</vt:lpwstr>
  </op:property>
</op:Properties>
</file>