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fb3aee0dc824893" /><Relationship Type="http://schemas.openxmlformats.org/package/2006/relationships/metadata/core-properties" Target="/docProps/core.xml" Id="Rf189f1decbcf4a4d" /><Relationship Type="http://schemas.openxmlformats.org/officeDocument/2006/relationships/extended-properties" Target="/docProps/app.xml" Id="Rb966c6c28414417a" /><Relationship Type="http://schemas.openxmlformats.org/officeDocument/2006/relationships/custom-properties" Target="/docProps/custom.xml" Id="Ra16030224b7048b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验证总结报告 VSR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计算机化系统验证正式送审分册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 INT 二零二六零九零九 十二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待企业签章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正式送审流转版。真实签字和执行证据由企业补齐后对外提交。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QA 负责人、验证负责人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二零二六年九月九日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一、报告目的</w:t>
      </w:r>
    </w:p>
    <w:p w14:paraId="00100024" w14:textId="0010002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汇总 IntRuoyi GxP 范围 CSV 执行结果、偏差处理、追溯矩阵、培训、供应商评估和放行建议。</w:t>
      </w:r>
    </w:p>
    <w:p w14:paraId="00100026" w14:textId="00100027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二、总结状态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总结状态"/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028" w14:textId="0010004C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2A" w14:textId="0010004D">
            <w:r>
              <w:rPr>
                <w:b/>
                <w:color w:val="FFFFFF"/>
              </w:rPr>
              <w:t xml:space="preserve">送审前应达到状态</w:t>
            </w:r>
          </w:p>
        </w:tc>
        <w:tc>
          <w:tcPr>
            <w:shd w:val="clear" w:fill="1F4E79"/>
          </w:tcPr>
          <w:p w14:paraId="0010002C" w14:textId="0010004E">
            <w:r>
              <w:rPr>
                <w:b/>
                <w:color w:val="FFFFFF"/>
              </w:rPr>
              <w:t xml:space="preserve">当前可填写方式</w:t>
            </w:r>
          </w:p>
        </w:tc>
      </w:tr>
      <w:tr>
        <w:trPr/>
        <w:tc>
          <w:p w14:paraId="0010002E" w14:textId="0010002F">
            <w:r>
              <w:t xml:space="preserve">URS、FS、风险评估</w:t>
            </w:r>
          </w:p>
        </w:tc>
        <w:tc>
          <w:p w14:paraId="00100030" w14:textId="00100031">
            <w:r>
              <w:t xml:space="preserve">已批准。</w:t>
            </w:r>
          </w:p>
        </w:tc>
        <w:tc>
          <w:p w14:paraId="00100032" w14:textId="00100033">
            <w:r>
              <w:t xml:space="preserve">引用对应分册和签字页。</w:t>
            </w:r>
          </w:p>
        </w:tc>
      </w:tr>
      <w:tr>
        <w:trPr/>
        <w:tc>
          <w:tcPr>
            <w:shd w:val="clear" w:fill="F3F6FA"/>
          </w:tcPr>
          <w:p w14:paraId="00100034" w14:textId="00100035">
            <w:r>
              <w:t xml:space="preserve">IQ、OQ、PQ</w:t>
            </w:r>
          </w:p>
        </w:tc>
        <w:tc>
          <w:tcPr>
            <w:shd w:val="clear" w:fill="F3F6FA"/>
          </w:tcPr>
          <w:p w14:paraId="00100036" w14:textId="00100037">
            <w:r>
              <w:t xml:space="preserve">已执行并复核。</w:t>
            </w:r>
          </w:p>
        </w:tc>
        <w:tc>
          <w:tcPr>
            <w:shd w:val="clear" w:fill="F3F6FA"/>
          </w:tcPr>
          <w:p w14:paraId="00100038" w14:textId="00100039">
            <w:r>
              <w:t xml:space="preserve">填写每项测试结论、证据编号和偏差编号。</w:t>
            </w:r>
          </w:p>
        </w:tc>
      </w:tr>
      <w:tr>
        <w:trPr/>
        <w:tc>
          <w:p w14:paraId="0010003A" w14:textId="0010003B">
            <w:r>
              <w:t xml:space="preserve">偏差和 CAPA</w:t>
            </w:r>
          </w:p>
        </w:tc>
        <w:tc>
          <w:p w14:paraId="0010003C" w14:textId="0010003D">
            <w:r>
              <w:t xml:space="preserve">关键和重大项关闭或经 QA 批准接受。</w:t>
            </w:r>
          </w:p>
        </w:tc>
        <w:tc>
          <w:p w14:paraId="0010003E" w14:textId="0010003F">
            <w:r>
              <w:t xml:space="preserve">引用偏差台账和复测证据。</w:t>
            </w:r>
          </w:p>
        </w:tc>
      </w:tr>
      <w:tr>
        <w:trPr/>
        <w:tc>
          <w:tcPr>
            <w:shd w:val="clear" w:fill="F3F6FA"/>
          </w:tcPr>
          <w:p w14:paraId="00100040" w14:textId="00100041">
            <w:r>
              <w:t xml:space="preserve">培训和供应商</w:t>
            </w:r>
          </w:p>
        </w:tc>
        <w:tc>
          <w:tcPr>
            <w:shd w:val="clear" w:fill="F3F6FA"/>
          </w:tcPr>
          <w:p w14:paraId="00100042" w14:textId="00100043">
            <w:r>
              <w:t xml:space="preserve">培训完成，供应商评估完成。</w:t>
            </w:r>
          </w:p>
        </w:tc>
        <w:tc>
          <w:tcPr>
            <w:shd w:val="clear" w:fill="F3F6FA"/>
          </w:tcPr>
          <w:p w14:paraId="00100044" w14:textId="00100045">
            <w:r>
              <w:t xml:space="preserve">引用培训台账、供应商评估和质量协议。</w:t>
            </w:r>
          </w:p>
        </w:tc>
      </w:tr>
      <w:tr>
        <w:trPr/>
        <w:tc>
          <w:p w14:paraId="00100046" w14:textId="00100047">
            <w:r>
              <w:t xml:space="preserve">最终结论</w:t>
            </w:r>
          </w:p>
        </w:tc>
        <w:tc>
          <w:p w14:paraId="00100048" w14:textId="00100049">
            <w:r>
              <w:t xml:space="preserve">QA 批准后方可放行。</w:t>
            </w:r>
          </w:p>
        </w:tc>
        <w:tc>
          <w:p w14:paraId="0010004A" w14:textId="0010004B">
            <w:r>
              <w:t xml:space="preserve">未签前不得写已放行。</w:t>
            </w:r>
          </w:p>
        </w:tc>
      </w:tr>
    </w:tbl>
    <w:p w14:paraId="0010004F" w14:textId="00100050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三、药监提交口径</w:t>
      </w:r>
    </w:p>
    <w:p w14:paraId="00100051" w14:textId="00100052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给审核老师提交时，应提供已签署的验证总结报告、执行记录、偏差关闭证据和附件目录。若仍有未关闭问题，应如实列入限制项、风险接受或整改计划，不得把待补项写成已完成。</w:t>
      </w:r>
    </w:p>
    <w:p w14:paraId="00100053" w14:textId="00100054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055" w14:textId="00100056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57" w14:textId="0010009F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059" w14:textId="001000A0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05B" w14:textId="001000A1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5D" w14:textId="001000A2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05F" w14:textId="001000A3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061" w14:textId="001000A4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63" w14:textId="00100064">
            <w:r>
              <w:t xml:space="preserve">编写</w:t>
            </w:r>
          </w:p>
        </w:tc>
        <w:tc>
          <w:p w14:paraId="00100065" w14:textId="00100066"/>
        </w:tc>
        <w:tc>
          <w:p w14:paraId="00100067" w14:textId="00100068"/>
        </w:tc>
        <w:tc>
          <w:p w14:paraId="00100069" w14:textId="0010006A"/>
        </w:tc>
        <w:tc>
          <w:p w14:paraId="0010006B" w14:textId="0010006C"/>
        </w:tc>
        <w:tc>
          <w:p w14:paraId="0010006D" w14:textId="0010006E"/>
        </w:tc>
      </w:tr>
      <w:tr>
        <w:trPr/>
        <w:tc>
          <w:tcPr>
            <w:shd w:val="clear" w:fill="F3F6FA"/>
          </w:tcPr>
          <w:p w14:paraId="0010006F" w14:textId="00100070">
            <w:r>
              <w:t xml:space="preserve">业务审核</w:t>
            </w:r>
          </w:p>
        </w:tc>
        <w:tc>
          <w:tcPr>
            <w:shd w:val="clear" w:fill="F3F6FA"/>
          </w:tcPr>
          <w:p w14:paraId="00100071" w14:textId="00100072"/>
        </w:tc>
        <w:tc>
          <w:tcPr>
            <w:shd w:val="clear" w:fill="F3F6FA"/>
          </w:tcPr>
          <w:p w14:paraId="00100073" w14:textId="00100074"/>
        </w:tc>
        <w:tc>
          <w:tcPr>
            <w:shd w:val="clear" w:fill="F3F6FA"/>
          </w:tcPr>
          <w:p w14:paraId="00100075" w14:textId="00100076"/>
        </w:tc>
        <w:tc>
          <w:tcPr>
            <w:shd w:val="clear" w:fill="F3F6FA"/>
          </w:tcPr>
          <w:p w14:paraId="00100077" w14:textId="00100078"/>
        </w:tc>
        <w:tc>
          <w:tcPr>
            <w:shd w:val="clear" w:fill="F3F6FA"/>
          </w:tcPr>
          <w:p w14:paraId="00100079" w14:textId="0010007A"/>
        </w:tc>
      </w:tr>
      <w:tr>
        <w:trPr/>
        <w:tc>
          <w:p w14:paraId="0010007B" w14:textId="0010007C">
            <w:r>
              <w:t xml:space="preserve">IT 审核</w:t>
            </w:r>
          </w:p>
        </w:tc>
        <w:tc>
          <w:p w14:paraId="0010007D" w14:textId="0010007E"/>
        </w:tc>
        <w:tc>
          <w:p w14:paraId="0010007F" w14:textId="00100080"/>
        </w:tc>
        <w:tc>
          <w:p w14:paraId="00100081" w14:textId="00100082"/>
        </w:tc>
        <w:tc>
          <w:p w14:paraId="00100083" w14:textId="00100084"/>
        </w:tc>
        <w:tc>
          <w:p w14:paraId="00100085" w14:textId="00100086"/>
        </w:tc>
      </w:tr>
      <w:tr>
        <w:trPr/>
        <w:tc>
          <w:tcPr>
            <w:shd w:val="clear" w:fill="F3F6FA"/>
          </w:tcPr>
          <w:p w14:paraId="00100087" w14:textId="00100088">
            <w:r>
              <w:t xml:space="preserve">QA 审核</w:t>
            </w:r>
          </w:p>
        </w:tc>
        <w:tc>
          <w:tcPr>
            <w:shd w:val="clear" w:fill="F3F6FA"/>
          </w:tcPr>
          <w:p w14:paraId="00100089" w14:textId="0010008A"/>
        </w:tc>
        <w:tc>
          <w:tcPr>
            <w:shd w:val="clear" w:fill="F3F6FA"/>
          </w:tcPr>
          <w:p w14:paraId="0010008B" w14:textId="0010008C"/>
        </w:tc>
        <w:tc>
          <w:tcPr>
            <w:shd w:val="clear" w:fill="F3F6FA"/>
          </w:tcPr>
          <w:p w14:paraId="0010008D" w14:textId="0010008E"/>
        </w:tc>
        <w:tc>
          <w:tcPr>
            <w:shd w:val="clear" w:fill="F3F6FA"/>
          </w:tcPr>
          <w:p w14:paraId="0010008F" w14:textId="00100090"/>
        </w:tc>
        <w:tc>
          <w:tcPr>
            <w:shd w:val="clear" w:fill="F3F6FA"/>
          </w:tcPr>
          <w:p w14:paraId="00100091" w14:textId="00100092"/>
        </w:tc>
      </w:tr>
      <w:tr>
        <w:trPr/>
        <w:tc>
          <w:p w14:paraId="00100093" w14:textId="00100094">
            <w:r>
              <w:t xml:space="preserve">批准</w:t>
            </w:r>
          </w:p>
        </w:tc>
        <w:tc>
          <w:p w14:paraId="00100095" w14:textId="00100096"/>
        </w:tc>
        <w:tc>
          <w:p w14:paraId="00100097" w14:textId="00100098"/>
        </w:tc>
        <w:tc>
          <w:p w14:paraId="00100099" w14:textId="0010009A"/>
        </w:tc>
        <w:tc>
          <w:p w14:paraId="0010009B" w14:textId="0010009C"/>
        </w:tc>
        <w:tc>
          <w:p w14:paraId="0010009D" w14:textId="0010009E"/>
        </w:tc>
      </w:tr>
    </w:tbl>
    <w:sectPr>
      <w:footerReference w:type="default" r:id="R309a3e93bd3f427e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A5" w14:textId="001000A7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5bc9a86409c44ca" /><Relationship Type="http://schemas.openxmlformats.org/officeDocument/2006/relationships/styles" Target="/word/styles.xml" Id="R3829b14613e04d8d" /><Relationship Type="http://schemas.openxmlformats.org/officeDocument/2006/relationships/theme" Target="/word/theme/theme1.xml" Id="R8cc2d952edeb4fd9" /><Relationship Type="http://schemas.openxmlformats.org/officeDocument/2006/relationships/numbering" Target="/word/numbering.xml" Id="R41029fc70a69400d" /><Relationship Type="http://schemas.openxmlformats.org/officeDocument/2006/relationships/footer" Target="/word/footer1.xml" Id="R309a3e93bd3f42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2026-09-08T16:40:17.0000000Z</dcterms:created>
  <lastModifiedBy>OfficeCLI</lastModifiedBy>
  <dcterms:modified xsi:type="dcterms:W3CDTF">2026-09-08T16:40:17.0000000Z</dcterms:modified>
  <dc:description>IntRuoyi 计算机化系统验证正式送审分册，待企业签章和原始证据补齐后提交。</dc:description>
  <dc:subject>IntRuoyi CSV 正式送审分册</dc:subject>
  <keywords>CSV,GxP,计算机化系统验证,送审分册</keywords>
  <dc:title>验证总结报告 VSR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2026-09-08T16:40:22Z</vt:lpwstr>
  </op:property>
</op:Properties>
</file>