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pPr w:leftFromText="180" w:rightFromText="180" w:vertAnchor="page" w:horzAnchor="page" w:tblpX="1777" w:tblpY="3195"/>
        <w:tblOverlap w:val="never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1"/>
        <w:gridCol w:w="1395"/>
        <w:gridCol w:w="7948"/>
        <w:gridCol w:w="1173"/>
        <w:gridCol w:w="1203"/>
        <w:gridCol w:w="934"/>
      </w:tblGrid>
      <w:tr w14:paraId="04205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5000" w:type="pct"/>
            <w:gridSpan w:val="6"/>
            <w:shd w:val="clear" w:color="auto" w:fill="BFBFBF"/>
            <w:vAlign w:val="center"/>
          </w:tcPr>
          <w:p w14:paraId="21A866C4" w14:textId="7FFE8838">
            <w:pPr>
              <w:widowControl/>
              <w:tabs>
                <w:tab w:val="left" w:pos="5170"/>
              </w:tabs>
              <w:jc w:val="center"/>
              <w:rPr>
                <w:rFonts w:hint="default"/>
                <w:b w:val="0"/>
                <w:bCs w:val="0"/>
                <w:kern w:val="2"/>
                <w:sz w:val="18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</w:rPr>
              <w:t>修订历史</w:t>
            </w:r>
          </w:p>
        </w:tc>
      </w:tr>
      <w:tr w14:paraId="1CAA0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97" w:type="pct"/>
            <w:shd w:val="clear" w:color="auto" w:fill="BFBFBF"/>
            <w:vAlign w:val="center"/>
          </w:tcPr>
          <w:p w14:paraId="7D432C57" w14:textId="7FFE8839">
            <w:pPr>
              <w:widowControl/>
              <w:tabs>
                <w:tab w:val="left" w:pos="5170"/>
              </w:tabs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</w:rPr>
              <w:t>版本</w:t>
            </w:r>
          </w:p>
        </w:tc>
        <w:tc>
          <w:tcPr>
            <w:tcW w:w="518" w:type="pct"/>
            <w:shd w:val="clear" w:color="auto" w:fill="BFBFBF"/>
            <w:vAlign w:val="center"/>
          </w:tcPr>
          <w:p w14:paraId="11CE7B1B" w14:textId="7FFE883A">
            <w:pPr>
              <w:widowControl/>
              <w:tabs>
                <w:tab w:val="left" w:pos="5170"/>
              </w:tabs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</w:rPr>
              <w:t>变更编号</w:t>
            </w:r>
          </w:p>
        </w:tc>
        <w:tc>
          <w:tcPr>
            <w:tcW w:w="2953" w:type="pct"/>
            <w:shd w:val="clear" w:color="auto" w:fill="BFBFBF"/>
            <w:vAlign w:val="center"/>
          </w:tcPr>
          <w:p w14:paraId="5A350314" w14:textId="7FFE883B">
            <w:pPr>
              <w:widowControl/>
              <w:tabs>
                <w:tab w:val="left" w:pos="5170"/>
              </w:tabs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</w:rPr>
              <w:t>修订内容</w:t>
            </w:r>
          </w:p>
        </w:tc>
        <w:tc>
          <w:tcPr>
            <w:tcW w:w="435" w:type="pct"/>
            <w:shd w:val="clear" w:color="auto" w:fill="BFBFBF"/>
            <w:vAlign w:val="center"/>
          </w:tcPr>
          <w:p w14:paraId="2433C7B7" w14:textId="7FFE883C">
            <w:pPr>
              <w:widowControl/>
              <w:tabs>
                <w:tab w:val="left" w:pos="5170"/>
              </w:tabs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</w:rPr>
              <w:t>修订日期</w:t>
            </w:r>
          </w:p>
        </w:tc>
        <w:tc>
          <w:tcPr>
            <w:tcW w:w="447" w:type="pct"/>
            <w:shd w:val="clear" w:color="auto" w:fill="BFBFBF"/>
            <w:vAlign w:val="center"/>
          </w:tcPr>
          <w:p w14:paraId="0F05CF85" w14:textId="7FFE883D">
            <w:pPr>
              <w:widowControl/>
              <w:tabs>
                <w:tab w:val="left" w:pos="5170"/>
              </w:tabs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/>
              </w:rPr>
              <w:t>生效日期</w:t>
            </w:r>
          </w:p>
        </w:tc>
        <w:tc>
          <w:tcPr>
            <w:tcW w:w="347" w:type="pct"/>
            <w:shd w:val="clear" w:color="auto" w:fill="BFBFBF"/>
            <w:vAlign w:val="center"/>
          </w:tcPr>
          <w:p w14:paraId="413F53A8" w14:textId="7FFE883E">
            <w:pPr>
              <w:widowControl/>
              <w:tabs>
                <w:tab w:val="left" w:pos="5170"/>
              </w:tabs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</w:rPr>
              <w:t>修订人</w:t>
            </w:r>
          </w:p>
        </w:tc>
      </w:tr>
      <w:tr w14:paraId="2745E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97" w:type="pct"/>
            <w:shd w:val="clear" w:color="auto" w:fill="auto"/>
            <w:vAlign w:val="center"/>
          </w:tcPr>
          <w:p w14:paraId="6FB35A71" w14:textId="7FFE883F">
            <w:pPr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auto"/>
                <w:sz w:val="21"/>
                <w:szCs w:val="21"/>
              </w:rPr>
              <w:t>A</w:t>
            </w:r>
            <w:r>
              <w:rPr>
                <w:rFonts w:hint="default" w:ascii="Times New Roman" w:hAnsi="Times New Roman" w:eastAsia="宋体" w:cs="Times New Roman"/>
                <w:bCs/>
                <w:color w:val="auto"/>
                <w:sz w:val="21"/>
                <w:szCs w:val="21"/>
              </w:rPr>
              <w:t>/0</w:t>
            </w:r>
          </w:p>
        </w:tc>
        <w:tc>
          <w:tcPr>
            <w:tcW w:w="518" w:type="pct"/>
            <w:shd w:val="clear" w:color="auto" w:fill="auto"/>
            <w:vAlign w:val="center"/>
          </w:tcPr>
          <w:p w14:paraId="61787940" w14:textId="7FFE8840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/</w:t>
            </w:r>
          </w:p>
        </w:tc>
        <w:tc>
          <w:tcPr>
            <w:tcW w:w="2953" w:type="pct"/>
            <w:vAlign w:val="center"/>
          </w:tcPr>
          <w:p w14:paraId="6EE5593A" w14:textId="7FFE8841">
            <w:pPr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auto"/>
                <w:sz w:val="21"/>
                <w:szCs w:val="21"/>
              </w:rPr>
              <w:t>新建文件</w:t>
            </w:r>
          </w:p>
        </w:tc>
        <w:tc>
          <w:tcPr>
            <w:tcW w:w="435" w:type="pct"/>
            <w:vAlign w:val="center"/>
          </w:tcPr>
          <w:p w14:paraId="4922D9EB" w14:textId="7FFE8842">
            <w:pPr>
              <w:jc w:val="center"/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/</w:t>
            </w:r>
          </w:p>
        </w:tc>
        <w:tc>
          <w:tcPr>
            <w:tcW w:w="447" w:type="pct"/>
            <w:vAlign w:val="center"/>
          </w:tcPr>
          <w:p w14:paraId="63586B34" w14:textId="7FFE8843">
            <w:pPr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auto"/>
                <w:sz w:val="21"/>
                <w:szCs w:val="21"/>
                <w:lang w:val="en-US" w:eastAsia="zh-CN"/>
              </w:rPr>
              <w:t>2021.03.05</w:t>
            </w:r>
          </w:p>
        </w:tc>
        <w:tc>
          <w:tcPr>
            <w:tcW w:w="347" w:type="pct"/>
            <w:vAlign w:val="center"/>
          </w:tcPr>
          <w:p w14:paraId="62A3CF3B" w14:textId="7FFE8844">
            <w:pPr>
              <w:jc w:val="center"/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/</w:t>
            </w:r>
          </w:p>
        </w:tc>
      </w:tr>
      <w:tr w14:paraId="1EDF1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97" w:type="pct"/>
            <w:shd w:val="clear" w:color="auto" w:fill="auto"/>
            <w:vAlign w:val="center"/>
          </w:tcPr>
          <w:p w14:paraId="3A589C43" w14:textId="7FFE8845">
            <w:pPr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auto"/>
                <w:sz w:val="21"/>
                <w:szCs w:val="21"/>
                <w:lang w:val="en-US" w:eastAsia="zh-CN"/>
              </w:rPr>
              <w:t>A/1</w:t>
            </w:r>
          </w:p>
        </w:tc>
        <w:tc>
          <w:tcPr>
            <w:tcW w:w="518" w:type="pct"/>
            <w:shd w:val="clear" w:color="auto" w:fill="auto"/>
            <w:vAlign w:val="center"/>
          </w:tcPr>
          <w:p w14:paraId="0308B178" w14:textId="7FFE8846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/</w:t>
            </w:r>
          </w:p>
        </w:tc>
        <w:tc>
          <w:tcPr>
            <w:tcW w:w="2953" w:type="pct"/>
            <w:shd w:val="clear" w:color="auto" w:fill="auto"/>
            <w:vAlign w:val="center"/>
          </w:tcPr>
          <w:p w14:paraId="3441C305" w14:textId="7FFE8847">
            <w:pPr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auto"/>
                <w:sz w:val="21"/>
                <w:szCs w:val="21"/>
                <w:lang w:val="en-US" w:eastAsia="zh-CN"/>
              </w:rPr>
              <w:t>更换公司名称，更换公司logo</w:t>
            </w:r>
          </w:p>
        </w:tc>
        <w:tc>
          <w:tcPr>
            <w:tcW w:w="435" w:type="pct"/>
            <w:shd w:val="clear" w:color="auto" w:fill="auto"/>
            <w:vAlign w:val="center"/>
          </w:tcPr>
          <w:p w14:paraId="26D1DC00" w14:textId="7FFE8848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/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CDCC26E" w14:textId="7FFE8849">
            <w:pPr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auto"/>
                <w:sz w:val="21"/>
                <w:szCs w:val="21"/>
                <w:lang w:val="en-US" w:eastAsia="zh-CN"/>
              </w:rPr>
              <w:t>2024.11.30</w:t>
            </w:r>
          </w:p>
        </w:tc>
        <w:tc>
          <w:tcPr>
            <w:tcW w:w="347" w:type="pct"/>
            <w:shd w:val="clear" w:color="auto" w:fill="auto"/>
            <w:vAlign w:val="center"/>
          </w:tcPr>
          <w:p w14:paraId="47C17F73" w14:textId="7FFE884A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/</w:t>
            </w:r>
          </w:p>
        </w:tc>
      </w:tr>
      <w:tr w14:paraId="30A91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97" w:type="pct"/>
            <w:shd w:val="clear" w:color="auto" w:fill="auto"/>
            <w:vAlign w:val="center"/>
          </w:tcPr>
          <w:p w14:paraId="460BB203" w14:textId="7FFE898C">
            <w:pPr>
              <w:jc w:val="center"/>
              <w:rPr>
                <w:rFonts w:hint="default" w:ascii="Times New Roman" w:hAnsi="Times New Roman" w:eastAsia="宋体" w:cs="Times New Roman"/>
                <w:bCs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auto"/>
                <w:sz w:val="21"/>
                <w:szCs w:val="21"/>
                <w:lang w:val="en-US" w:eastAsia="zh-CN"/>
              </w:rPr>
              <w:t xml:space="preserve">B/1</w:t>
            </w:r>
          </w:p>
        </w:tc>
        <w:tc>
          <w:tcPr>
            <w:tcW w:w="518" w:type="pct"/>
            <w:shd w:val="clear" w:color="auto" w:fill="auto"/>
            <w:vAlign w:val="center"/>
          </w:tcPr>
          <w:p w14:paraId="44A163C3" w14:textId="7FFE884C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sz w:val="21"/>
                <w:szCs w:val="21"/>
                <w:highlight w:val="none"/>
                <w:lang w:val="en-US" w:eastAsia="zh-CN"/>
              </w:rPr>
              <w:t>20250912002</w:t>
            </w:r>
          </w:p>
        </w:tc>
        <w:tc>
          <w:tcPr>
            <w:tcW w:w="2953" w:type="pct"/>
            <w:shd w:val="clear" w:color="auto" w:fill="auto"/>
            <w:vAlign w:val="center"/>
          </w:tcPr>
          <w:p w14:paraId="58A51BE3" w14:textId="7FFE884D">
            <w:pPr>
              <w:widowControl/>
              <w:numPr>
                <w:ilvl w:val="-1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sz w:val="21"/>
                <w:szCs w:val="21"/>
                <w:highlight w:val="none"/>
                <w:lang w:val="en-US" w:eastAsia="zh-CN"/>
              </w:rPr>
              <w:t>启用“P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highlight w:val="none"/>
                <w:lang w:val="en-US" w:eastAsia="zh-CN"/>
              </w:rPr>
              <w:t>QC-0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sz w:val="21"/>
                <w:szCs w:val="21"/>
                <w:highlight w:val="none"/>
                <w:lang w:val="en-US" w:eastAsia="zh-CN"/>
              </w:rPr>
              <w:t>0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highlight w:val="none"/>
                <w:lang w:val="en-US" w:eastAsia="zh-CN"/>
              </w:rPr>
              <w:t>1 Template A/0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sz w:val="21"/>
                <w:szCs w:val="21"/>
                <w:highlight w:val="none"/>
                <w:lang w:val="en-US" w:eastAsia="zh-CN"/>
              </w:rPr>
              <w:t>”新版“过程检验规程”模版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highlight w:val="none"/>
                <w:lang w:val="en-US" w:eastAsia="zh-CN"/>
              </w:rPr>
              <w:t>。</w:t>
            </w:r>
          </w:p>
        </w:tc>
        <w:tc>
          <w:tcPr>
            <w:tcW w:w="435" w:type="pct"/>
            <w:shd w:val="clear" w:color="auto" w:fill="auto"/>
            <w:vAlign w:val="center"/>
          </w:tcPr>
          <w:p w14:paraId="02389C1A" w14:textId="7FFE884E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highlight w:val="none"/>
                <w:lang w:val="en-US" w:eastAsia="zh-CN"/>
              </w:rPr>
              <w:t>2025.12.29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E1A5DA7" w14:textId="7FFE884F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highlight w:val="none"/>
              </w:rPr>
              <w:t>2</w:t>
            </w:r>
            <w:r>
              <w:rPr>
                <w:rFonts w:ascii="Times New Roman" w:hAnsi="Times New Roman" w:cs="Times New Roman"/>
                <w:sz w:val="21"/>
                <w:szCs w:val="21"/>
                <w:highlight w:val="none"/>
              </w:rPr>
              <w:t>0</w:t>
            </w:r>
            <w:r>
              <w:rPr>
                <w:rFonts w:hint="eastAsia" w:ascii="Times New Roman" w:hAnsi="Times New Roman" w:cs="Times New Roman"/>
                <w:sz w:val="21"/>
                <w:szCs w:val="21"/>
                <w:highlight w:val="none"/>
                <w:lang w:val="en-US" w:eastAsia="zh-CN"/>
              </w:rPr>
              <w:t>26.01.04</w:t>
            </w:r>
          </w:p>
        </w:tc>
        <w:tc>
          <w:tcPr>
            <w:tcW w:w="347" w:type="pct"/>
            <w:shd w:val="clear" w:color="auto" w:fill="auto"/>
            <w:vAlign w:val="center"/>
          </w:tcPr>
          <w:p w14:paraId="0B0142FF" w14:textId="7FFE8850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顾怡</w:t>
            </w:r>
          </w:p>
        </w:tc>
      </w:tr>
      <w:tr w14:paraId="2DED2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97" w:type="pct"/>
            <w:shd w:val="clear" w:color="auto" w:fill="auto"/>
            <w:vAlign w:val="center"/>
          </w:tcPr>
          <w:p w14:paraId="46266C03" w14:textId="7FFE8851">
            <w:pPr>
              <w:jc w:val="center"/>
              <w:rPr>
                <w:rFonts w:hint="default" w:ascii="Times New Roman" w:hAnsi="Times New Roman" w:eastAsia="宋体" w:cs="Times New Roman"/>
                <w:b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18" w:type="pct"/>
            <w:shd w:val="clear" w:color="auto" w:fill="auto"/>
            <w:vAlign w:val="center"/>
          </w:tcPr>
          <w:p w14:paraId="17ECCDDE" w14:textId="7FFE8852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2953" w:type="pct"/>
            <w:shd w:val="clear" w:color="auto" w:fill="auto"/>
            <w:vAlign w:val="center"/>
          </w:tcPr>
          <w:p w14:paraId="718C174A" w14:textId="7FFE8853">
            <w:pPr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</w:rPr>
            </w:pPr>
          </w:p>
        </w:tc>
        <w:tc>
          <w:tcPr>
            <w:tcW w:w="435" w:type="pct"/>
            <w:shd w:val="clear" w:color="auto" w:fill="auto"/>
            <w:vAlign w:val="center"/>
          </w:tcPr>
          <w:p w14:paraId="7A3DD470" w14:textId="7FFE8854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447" w:type="pct"/>
            <w:shd w:val="clear" w:color="auto" w:fill="auto"/>
            <w:vAlign w:val="center"/>
          </w:tcPr>
          <w:p w14:paraId="698D088C" w14:textId="7FFE8855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347" w:type="pct"/>
            <w:shd w:val="clear" w:color="auto" w:fill="auto"/>
            <w:vAlign w:val="center"/>
          </w:tcPr>
          <w:p w14:paraId="52D9161A" w14:textId="7FFE8856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</w:tr>
      <w:tr w14:paraId="08018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97" w:type="pct"/>
            <w:shd w:val="clear" w:color="auto" w:fill="auto"/>
            <w:vAlign w:val="center"/>
          </w:tcPr>
          <w:p w14:paraId="7933CF3E" w14:textId="7FFE8857">
            <w:pPr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18" w:type="pct"/>
            <w:vAlign w:val="center"/>
          </w:tcPr>
          <w:p w14:paraId="45D76B62" w14:textId="7FFE8858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2953" w:type="pct"/>
            <w:vAlign w:val="center"/>
          </w:tcPr>
          <w:p w14:paraId="651D5E2D" w14:textId="7FFE8859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</w:p>
        </w:tc>
        <w:tc>
          <w:tcPr>
            <w:tcW w:w="435" w:type="pct"/>
            <w:vAlign w:val="center"/>
          </w:tcPr>
          <w:p w14:paraId="6B4617B3" w14:textId="7FFE885A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447" w:type="pct"/>
            <w:vAlign w:val="center"/>
          </w:tcPr>
          <w:p w14:paraId="5E60D992" w14:textId="7FFE885B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347" w:type="pct"/>
            <w:vAlign w:val="center"/>
          </w:tcPr>
          <w:p w14:paraId="086F73AB" w14:textId="7FFE885C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</w:tr>
      <w:tr w14:paraId="58A47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97" w:type="pct"/>
            <w:vAlign w:val="center"/>
          </w:tcPr>
          <w:p w14:paraId="2671979A" w14:textId="7FFE885D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518" w:type="pct"/>
            <w:vAlign w:val="center"/>
          </w:tcPr>
          <w:p w14:paraId="298B5D6F" w14:textId="7FFE885E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2953" w:type="pct"/>
            <w:vAlign w:val="center"/>
          </w:tcPr>
          <w:p w14:paraId="70380D6A" w14:textId="7FFE885F">
            <w:pP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  <w:bookmarkStart w:name="_GoBack" w:id="2"/>
            <w:bookmarkEnd w:id="2"/>
          </w:p>
        </w:tc>
        <w:tc>
          <w:tcPr>
            <w:tcW w:w="435" w:type="pct"/>
            <w:vAlign w:val="center"/>
          </w:tcPr>
          <w:p w14:paraId="6969CC3D" w14:textId="7FFE8860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447" w:type="pct"/>
            <w:vAlign w:val="center"/>
          </w:tcPr>
          <w:p w14:paraId="7AF39CB5" w14:textId="7FFE8861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347" w:type="pct"/>
            <w:vAlign w:val="center"/>
          </w:tcPr>
          <w:p w14:paraId="2A24F5CB" w14:textId="7FFE8862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</w:tr>
      <w:tr w14:paraId="51BA8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97" w:type="pct"/>
            <w:vAlign w:val="center"/>
          </w:tcPr>
          <w:p w14:paraId="4EF6C4CE" w14:textId="7FFE8863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518" w:type="pct"/>
            <w:vAlign w:val="center"/>
          </w:tcPr>
          <w:p w14:paraId="542E3936" w14:textId="7FFE8864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2953" w:type="pct"/>
            <w:vAlign w:val="center"/>
          </w:tcPr>
          <w:p w14:paraId="0D418333" w14:textId="7FFE8865">
            <w:pP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</w:p>
        </w:tc>
        <w:tc>
          <w:tcPr>
            <w:tcW w:w="435" w:type="pct"/>
            <w:vAlign w:val="center"/>
          </w:tcPr>
          <w:p w14:paraId="615B54BE" w14:textId="7FFE8866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447" w:type="pct"/>
            <w:vAlign w:val="center"/>
          </w:tcPr>
          <w:p w14:paraId="1D6C8FA1" w14:textId="7FFE8867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347" w:type="pct"/>
            <w:vAlign w:val="center"/>
          </w:tcPr>
          <w:p w14:paraId="271AC7DB" w14:textId="7FFE8868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</w:tr>
      <w:tr w14:paraId="120DA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97" w:type="pct"/>
            <w:vAlign w:val="center"/>
          </w:tcPr>
          <w:p w14:paraId="156F5015" w14:textId="7FFE8869">
            <w:pPr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518" w:type="pct"/>
            <w:vAlign w:val="center"/>
          </w:tcPr>
          <w:p w14:paraId="0B7BAAF9" w14:textId="7FFE886A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  <w:lang w:val="en-US"/>
              </w:rPr>
            </w:pPr>
          </w:p>
        </w:tc>
        <w:tc>
          <w:tcPr>
            <w:tcW w:w="2953" w:type="pct"/>
            <w:vAlign w:val="center"/>
          </w:tcPr>
          <w:p w14:paraId="484B8B64" w14:textId="7FFE886B">
            <w:pPr>
              <w:widowControl/>
              <w:numPr>
                <w:ilvl w:val="-1"/>
                <w:numId w:val="0"/>
              </w:numPr>
              <w:ind w:left="0" w:lef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</w:p>
        </w:tc>
        <w:tc>
          <w:tcPr>
            <w:tcW w:w="435" w:type="pct"/>
            <w:vAlign w:val="center"/>
          </w:tcPr>
          <w:p w14:paraId="143B8131" w14:textId="7FFE886C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highlight w:val="none"/>
                <w:lang w:val="en-US"/>
              </w:rPr>
            </w:pPr>
          </w:p>
        </w:tc>
        <w:tc>
          <w:tcPr>
            <w:tcW w:w="447" w:type="pct"/>
            <w:vAlign w:val="center"/>
          </w:tcPr>
          <w:p w14:paraId="50F61A75" w14:textId="7FFE886D">
            <w:pPr>
              <w:jc w:val="center"/>
              <w:rPr>
                <w:rFonts w:hint="default" w:ascii="Times New Roman" w:hAnsi="Times New Roman" w:cs="Times New Roman" w:eastAsiaTheme="minorEastAsia"/>
                <w:b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347" w:type="pct"/>
            <w:vAlign w:val="center"/>
          </w:tcPr>
          <w:p w14:paraId="6D427A10" w14:textId="7FFE886E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</w:tr>
      <w:tr w14:paraId="2403C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97" w:type="pct"/>
            <w:vAlign w:val="center"/>
          </w:tcPr>
          <w:p w14:paraId="1AC4BE19" w14:textId="7FFE886F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518" w:type="pct"/>
            <w:vAlign w:val="center"/>
          </w:tcPr>
          <w:p w14:paraId="62CDF9A5" w14:textId="7FFE8870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2953" w:type="pct"/>
            <w:vAlign w:val="center"/>
          </w:tcPr>
          <w:p w14:paraId="46180511" w14:textId="7FFE8871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435" w:type="pct"/>
            <w:vAlign w:val="center"/>
          </w:tcPr>
          <w:p w14:paraId="3AA044B3" w14:textId="7FFE8872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447" w:type="pct"/>
            <w:vAlign w:val="center"/>
          </w:tcPr>
          <w:p w14:paraId="1983F589" w14:textId="7FFE8873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347" w:type="pct"/>
            <w:vAlign w:val="center"/>
          </w:tcPr>
          <w:p w14:paraId="14F1B642" w14:textId="7FFE8874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</w:tr>
      <w:tr w14:paraId="63A98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97" w:type="pct"/>
            <w:vAlign w:val="center"/>
          </w:tcPr>
          <w:p w14:paraId="2C046E26" w14:textId="7FFE8875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518" w:type="pct"/>
            <w:vAlign w:val="center"/>
          </w:tcPr>
          <w:p w14:paraId="2F79D927" w14:textId="7FFE8876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2953" w:type="pct"/>
            <w:vAlign w:val="center"/>
          </w:tcPr>
          <w:p w14:paraId="0A6CFB7A" w14:textId="7FFE8877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435" w:type="pct"/>
            <w:vAlign w:val="center"/>
          </w:tcPr>
          <w:p w14:paraId="5629F166" w14:textId="7FFE8878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447" w:type="pct"/>
            <w:vAlign w:val="center"/>
          </w:tcPr>
          <w:p w14:paraId="09CAE300" w14:textId="7FFE8879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347" w:type="pct"/>
            <w:vAlign w:val="center"/>
          </w:tcPr>
          <w:p w14:paraId="4932B5CF" w14:textId="7FFE887A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</w:tr>
      <w:tr w14:paraId="7876C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97" w:type="pct"/>
            <w:vAlign w:val="center"/>
          </w:tcPr>
          <w:p w14:paraId="3AF56C0B" w14:textId="7FFE887B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518" w:type="pct"/>
            <w:vAlign w:val="center"/>
          </w:tcPr>
          <w:p w14:paraId="5AD661FF" w14:textId="7FFE887C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2953" w:type="pct"/>
            <w:vAlign w:val="center"/>
          </w:tcPr>
          <w:p w14:paraId="6B840155" w14:textId="7FFE887D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435" w:type="pct"/>
            <w:vAlign w:val="center"/>
          </w:tcPr>
          <w:p w14:paraId="0AB7A119" w14:textId="7FFE887E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447" w:type="pct"/>
            <w:vAlign w:val="center"/>
          </w:tcPr>
          <w:p w14:paraId="37F83192" w14:textId="7FFE887F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347" w:type="pct"/>
            <w:vAlign w:val="center"/>
          </w:tcPr>
          <w:p w14:paraId="7E69C261" w14:textId="7FFE8880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</w:tr>
    </w:tbl>
    <w:p w14:paraId="6701AAC1" w14:textId="7FFE8881">
      <w:pPr>
        <w:bidi w:val="0"/>
        <w:rPr>
          <w:rFonts w:hint="default" w:ascii="Times New Roman" w:hAnsi="Times New Roman" w:eastAsia="宋体" w:cs="Times New Roman"/>
          <w:szCs w:val="21"/>
          <w:lang w:val="en-US" w:eastAsia="zh-CN"/>
        </w:rPr>
      </w:pPr>
    </w:p>
    <w:p w14:paraId="508A2786" w14:textId="7FFE8882">
      <w:pPr>
        <w:tabs>
          <w:tab w:val="left" w:pos="1061"/>
        </w:tabs>
        <w:bidi w:val="0"/>
        <w:jc w:val="left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ab/>
      </w:r>
    </w:p>
    <w:p w14:paraId="7C272741" w14:textId="7FFE8883">
      <w:pPr>
        <w:numPr>
          <w:ilvl w:val="0"/>
          <w:numId w:val="1"/>
        </w:numPr>
        <w:tabs>
          <w:tab w:val="left" w:pos="1061"/>
        </w:tabs>
        <w:bidi w:val="0"/>
        <w:spacing w:line="360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目的</w:t>
      </w:r>
    </w:p>
    <w:p w14:paraId="43856EBD" w14:textId="7FFE8884">
      <w:pPr>
        <w:numPr>
          <w:ilvl w:val="0"/>
          <w:numId w:val="0"/>
        </w:numPr>
        <w:tabs>
          <w:tab w:val="left" w:pos="1061"/>
        </w:tabs>
        <w:bidi w:val="0"/>
        <w:spacing w:line="360" w:lineRule="auto"/>
        <w:ind w:leftChars="0" w:firstLine="420" w:firstLineChars="200"/>
        <w:jc w:val="left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制定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按压式球囊扩充压力泵组装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过程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检验项目、接受标准、检验方法和抽样规则，通过检验控制产品质量，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确保其符合产品的质量要求。</w:t>
      </w:r>
    </w:p>
    <w:p w14:paraId="59512B1E" w14:textId="7FFE8885">
      <w:pPr>
        <w:numPr>
          <w:ilvl w:val="0"/>
          <w:numId w:val="0"/>
        </w:numPr>
        <w:tabs>
          <w:tab w:val="left" w:pos="1061"/>
        </w:tabs>
        <w:bidi w:val="0"/>
        <w:spacing w:line="360" w:lineRule="auto"/>
        <w:ind w:leftChars="0" w:firstLine="420" w:firstLineChars="200"/>
        <w:jc w:val="left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</w:p>
    <w:p w14:paraId="21419EF3" w14:textId="7FFE8886">
      <w:pPr>
        <w:numPr>
          <w:ilvl w:val="0"/>
          <w:numId w:val="0"/>
        </w:numPr>
        <w:tabs>
          <w:tab w:val="left" w:pos="1061"/>
        </w:tabs>
        <w:bidi w:val="0"/>
        <w:spacing w:line="360" w:lineRule="auto"/>
        <w:ind w:leftChars="0" w:firstLine="420" w:firstLineChars="200"/>
        <w:jc w:val="left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</w:pPr>
    </w:p>
    <w:p w14:paraId="3AD39092" w14:textId="7FFE8887">
      <w:pPr>
        <w:numPr>
          <w:ilvl w:val="0"/>
          <w:numId w:val="1"/>
        </w:numPr>
        <w:tabs>
          <w:tab w:val="left" w:pos="1061"/>
        </w:tabs>
        <w:bidi w:val="0"/>
        <w:spacing w:line="360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适用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范围</w:t>
      </w:r>
    </w:p>
    <w:p w14:paraId="23E9743D" w14:textId="7FFE8888">
      <w:pPr>
        <w:numPr>
          <w:ilvl w:val="0"/>
          <w:numId w:val="0"/>
        </w:numPr>
        <w:tabs>
          <w:tab w:val="left" w:pos="1061"/>
        </w:tabs>
        <w:bidi w:val="0"/>
        <w:spacing w:line="360" w:lineRule="auto"/>
        <w:ind w:leftChars="0" w:firstLine="420" w:firstLineChars="200"/>
        <w:jc w:val="left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本规程适用于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按压式球囊扩充压力泵组装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的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过程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检验。</w:t>
      </w:r>
    </w:p>
    <w:p w14:paraId="25DF1F95" w14:textId="7FFE8889">
      <w:pPr>
        <w:pStyle w:val="2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</w:pPr>
    </w:p>
    <w:p w14:paraId="7E8BDE08" w14:textId="7FFE888A">
      <w:pPr>
        <w:numPr>
          <w:ilvl w:val="0"/>
          <w:numId w:val="1"/>
        </w:numPr>
        <w:tabs>
          <w:tab w:val="left" w:pos="1061"/>
        </w:tabs>
        <w:spacing w:line="360" w:lineRule="auto"/>
        <w:ind w:left="0" w:firstLine="0" w:firstLineChars="0"/>
        <w:jc w:val="left"/>
        <w:rPr>
          <w:rFonts w:hint="default" w:ascii="Times New Roman" w:hAnsi="Times New Roman" w:eastAsia="宋体" w:cs="Times New Roman"/>
          <w:b/>
          <w:bCs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t>术语及定义</w:t>
      </w:r>
    </w:p>
    <w:p w14:paraId="56D1C27B" w14:textId="7FFE888B">
      <w:pPr>
        <w:tabs>
          <w:tab w:val="left" w:pos="0"/>
        </w:tabs>
        <w:spacing w:line="360" w:lineRule="auto"/>
        <w:ind w:firstLine="420" w:firstLineChars="200"/>
        <w:rPr>
          <w:rFonts w:hint="default" w:ascii="Times New Roman" w:hAnsi="Times New Roman" w:eastAsia="宋体" w:cs="Times New Roman"/>
          <w:color w:val="auto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无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eastAsia="zh-CN"/>
        </w:rPr>
        <w:t>。</w:t>
      </w:r>
    </w:p>
    <w:p w14:paraId="0554D8C6" w14:textId="7FFE888C">
      <w:pPr>
        <w:tabs>
          <w:tab w:val="left" w:pos="0"/>
        </w:tabs>
        <w:spacing w:line="360" w:lineRule="auto"/>
        <w:ind w:firstLine="420" w:firstLineChars="200"/>
        <w:rPr>
          <w:rFonts w:hint="default" w:ascii="Times New Roman" w:hAnsi="Times New Roman" w:eastAsia="宋体" w:cs="Times New Roman"/>
          <w:sz w:val="21"/>
          <w:szCs w:val="21"/>
          <w:lang w:eastAsia="zh-CN"/>
        </w:rPr>
      </w:pPr>
    </w:p>
    <w:p w14:paraId="5EB7A4BF" w14:textId="7FFE888D">
      <w:pPr>
        <w:numPr>
          <w:ilvl w:val="0"/>
          <w:numId w:val="1"/>
        </w:numPr>
        <w:tabs>
          <w:tab w:val="left" w:pos="1061"/>
        </w:tabs>
        <w:spacing w:line="360" w:lineRule="auto"/>
        <w:ind w:left="0" w:firstLine="0"/>
        <w:jc w:val="left"/>
        <w:rPr>
          <w:rFonts w:hint="default" w:ascii="Times New Roman" w:hAnsi="Times New Roman" w:eastAsia="宋体" w:cs="Times New Roman"/>
          <w:b/>
          <w:bCs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t>职责</w:t>
      </w:r>
    </w:p>
    <w:p w14:paraId="67D1E3E4" w14:textId="7FFE888E">
      <w:pPr>
        <w:numPr>
          <w:ilvl w:val="1"/>
          <w:numId w:val="1"/>
        </w:numPr>
        <w:tabs>
          <w:tab w:val="left" w:pos="0"/>
        </w:tabs>
        <w:spacing w:line="360" w:lineRule="auto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bookmarkStart w:name="_Hlk103026135" w:id="0"/>
      <w:r>
        <w:rPr>
          <w:rFonts w:hint="eastAsia" w:ascii="Times New Roman" w:hAnsi="Times New Roman" w:eastAsia="宋体" w:cs="Times New Roman"/>
          <w:color w:val="auto"/>
          <w:sz w:val="21"/>
          <w:szCs w:val="21"/>
          <w:lang w:val="en-US" w:eastAsia="zh-CN"/>
        </w:rPr>
        <w:t>QA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负责编制和维护本文件；</w:t>
      </w:r>
    </w:p>
    <w:p w14:paraId="463825CD" w14:textId="7FFE888F">
      <w:pPr>
        <w:numPr>
          <w:ilvl w:val="1"/>
          <w:numId w:val="1"/>
        </w:numPr>
        <w:tabs>
          <w:tab w:val="left" w:pos="0"/>
        </w:tabs>
        <w:spacing w:line="360" w:lineRule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PQC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负责按照本文件的要求进行检验。 </w:t>
      </w:r>
    </w:p>
    <w:bookmarkEnd w:id="0"/>
    <w:p w14:paraId="3C85685A" w14:textId="7FFE8890">
      <w:pPr>
        <w:numPr>
          <w:ilvl w:val="-1"/>
          <w:numId w:val="0"/>
        </w:numPr>
        <w:bidi w:val="0"/>
        <w:spacing w:line="240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br w:type="page"/>
      </w:r>
    </w:p>
    <w:p w14:paraId="72781860" w14:textId="7FFE8891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061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0" w:firstLineChars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  <w:t>程序</w:t>
      </w:r>
    </w:p>
    <w:p w14:paraId="57843E01" w14:textId="7FFE8892">
      <w:pPr>
        <w:keepNext w:val="0"/>
        <w:keepLines w:val="0"/>
        <w:pageBreakBefore w:val="0"/>
        <w:widowControl w:val="0"/>
        <w:numPr>
          <w:ilvl w:val="1"/>
          <w:numId w:val="1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  <w:t>检验内容</w:t>
      </w:r>
    </w:p>
    <w:tbl>
      <w:tblPr>
        <w:tblStyle w:val="7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2"/>
        <w:gridCol w:w="904"/>
        <w:gridCol w:w="471"/>
        <w:gridCol w:w="594"/>
        <w:gridCol w:w="4218"/>
        <w:gridCol w:w="4218"/>
        <w:gridCol w:w="1162"/>
        <w:gridCol w:w="1380"/>
      </w:tblGrid>
      <w:tr w14:paraId="1EB2A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7" w:hRule="atLeast"/>
          <w:tblHeader/>
        </w:trPr>
        <w:tc>
          <w:tcPr>
            <w:tcW w:w="187" w:type="pct"/>
            <w:shd w:val="clear" w:color="auto" w:fill="D7D7D7" w:themeFill="background1" w:themeFillShade="D8"/>
            <w:vAlign w:val="center"/>
          </w:tcPr>
          <w:p w14:paraId="5A484EBE" w14:textId="7FFE8893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732" w:type="pct"/>
            <w:gridSpan w:val="3"/>
            <w:shd w:val="clear" w:color="auto" w:fill="D7D7D7" w:themeFill="background1" w:themeFillShade="D8"/>
            <w:vAlign w:val="center"/>
          </w:tcPr>
          <w:p w14:paraId="1DC0E503" w14:textId="7FFE8894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检验项目</w:t>
            </w:r>
          </w:p>
        </w:tc>
        <w:tc>
          <w:tcPr>
            <w:tcW w:w="1568" w:type="pct"/>
            <w:shd w:val="clear" w:color="auto" w:fill="D7D7D7" w:themeFill="background1" w:themeFillShade="D8"/>
            <w:vAlign w:val="center"/>
          </w:tcPr>
          <w:p w14:paraId="74496C4F" w14:textId="7FFE8895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接受标准</w:t>
            </w:r>
          </w:p>
        </w:tc>
        <w:tc>
          <w:tcPr>
            <w:tcW w:w="1568" w:type="pct"/>
            <w:shd w:val="clear" w:color="auto" w:fill="D7D7D7" w:themeFill="background1" w:themeFillShade="D8"/>
            <w:vAlign w:val="center"/>
          </w:tcPr>
          <w:p w14:paraId="777D2831" w14:textId="7FFE8896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检验方法</w:t>
            </w:r>
          </w:p>
        </w:tc>
        <w:tc>
          <w:tcPr>
            <w:tcW w:w="432" w:type="pct"/>
            <w:shd w:val="clear" w:color="auto" w:fill="D7D7D7" w:themeFill="background1" w:themeFillShade="D8"/>
            <w:vAlign w:val="center"/>
          </w:tcPr>
          <w:p w14:paraId="213F4140" w14:textId="7FFE8897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检验器具及设备</w:t>
            </w:r>
          </w:p>
        </w:tc>
        <w:tc>
          <w:tcPr>
            <w:tcW w:w="511" w:type="pct"/>
            <w:shd w:val="clear" w:color="auto" w:fill="D7D7D7" w:themeFill="background1" w:themeFillShade="D8"/>
            <w:vAlign w:val="center"/>
          </w:tcPr>
          <w:p w14:paraId="130C85DB" w14:textId="7FFE8898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抽样方案</w:t>
            </w:r>
          </w:p>
        </w:tc>
      </w:tr>
      <w:tr w14:paraId="4F74C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77" w:hRule="atLeast"/>
        </w:trPr>
        <w:tc>
          <w:tcPr>
            <w:tcW w:w="187" w:type="pct"/>
            <w:vAlign w:val="center"/>
          </w:tcPr>
          <w:p w14:paraId="7CF4D9BC" w14:textId="7FFE8899">
            <w:pPr>
              <w:numPr>
                <w:ilvl w:val="0"/>
                <w:numId w:val="2"/>
              </w:numPr>
              <w:bidi w:val="0"/>
              <w:adjustRightInd w:val="0"/>
              <w:snapToGrid w:val="0"/>
              <w:spacing w:line="240" w:lineRule="auto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Align w:val="center"/>
          </w:tcPr>
          <w:p w14:paraId="2E1BEDF7" w14:textId="7FFE889A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清洗</w:t>
            </w:r>
          </w:p>
        </w:tc>
        <w:tc>
          <w:tcPr>
            <w:tcW w:w="395" w:type="pct"/>
            <w:gridSpan w:val="2"/>
            <w:vAlign w:val="center"/>
          </w:tcPr>
          <w:p w14:paraId="107815A0" w14:textId="7FFE889B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外观</w:t>
            </w:r>
          </w:p>
        </w:tc>
        <w:tc>
          <w:tcPr>
            <w:tcW w:w="1568" w:type="pct"/>
            <w:vAlign w:val="center"/>
          </w:tcPr>
          <w:p w14:paraId="328102E6" w14:textId="7FFE889C">
            <w:pPr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活塞环、弹簧、杠杆、螺纹块、杠杆架、按钮、活塞清洗干燥后表面及内部应无液珠；表面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应清洁，无黑点、无异物等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1568" w:type="pct"/>
            <w:vAlign w:val="center"/>
          </w:tcPr>
          <w:p w14:paraId="105E11FB" w14:textId="7FFE889D">
            <w:pPr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正常或矫正视力，在300~700lx的照度下，离眼30~40cm处，观察约5~10s。</w:t>
            </w:r>
          </w:p>
        </w:tc>
        <w:tc>
          <w:tcPr>
            <w:tcW w:w="432" w:type="pct"/>
            <w:vAlign w:val="center"/>
          </w:tcPr>
          <w:p w14:paraId="10E51677" w14:textId="7FFE889E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</w:t>
            </w:r>
          </w:p>
        </w:tc>
        <w:tc>
          <w:tcPr>
            <w:tcW w:w="511" w:type="pct"/>
            <w:vAlign w:val="center"/>
          </w:tcPr>
          <w:p w14:paraId="561F9C6F" w14:textId="7FFE889F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GB/T 2828.1，I，AQL=0.4</w:t>
            </w:r>
          </w:p>
        </w:tc>
      </w:tr>
      <w:tr w14:paraId="7C7F6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77" w:hRule="atLeast"/>
        </w:trPr>
        <w:tc>
          <w:tcPr>
            <w:tcW w:w="187" w:type="pct"/>
            <w:vAlign w:val="center"/>
          </w:tcPr>
          <w:p w14:paraId="30712A92" w14:textId="7FFE88A0">
            <w:pPr>
              <w:numPr>
                <w:ilvl w:val="0"/>
                <w:numId w:val="2"/>
              </w:numPr>
              <w:bidi w:val="0"/>
              <w:adjustRightInd w:val="0"/>
              <w:snapToGrid w:val="0"/>
              <w:spacing w:line="240" w:lineRule="auto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Align w:val="center"/>
          </w:tcPr>
          <w:p w14:paraId="4661B349" w14:textId="7FFE88A1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清洁</w:t>
            </w:r>
          </w:p>
        </w:tc>
        <w:tc>
          <w:tcPr>
            <w:tcW w:w="395" w:type="pct"/>
            <w:gridSpan w:val="2"/>
            <w:vAlign w:val="center"/>
          </w:tcPr>
          <w:p w14:paraId="5E105747" w14:textId="7FFE88A2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外观</w:t>
            </w:r>
          </w:p>
        </w:tc>
        <w:tc>
          <w:tcPr>
            <w:tcW w:w="1568" w:type="pct"/>
            <w:vAlign w:val="center"/>
          </w:tcPr>
          <w:p w14:paraId="1DFBA437" w14:textId="7FFE88A3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压力表、外套、后盖、螺杆清洁后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表面应清洁，无黑点、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无浮尘、无异物等。</w:t>
            </w:r>
          </w:p>
        </w:tc>
        <w:tc>
          <w:tcPr>
            <w:tcW w:w="1568" w:type="pct"/>
            <w:vAlign w:val="center"/>
          </w:tcPr>
          <w:p w14:paraId="12E93B24" w14:textId="7FFE88A4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用清洁、无尘布，蘸取75%酒精擦拭产品表面。正常或矫正视力，在300~700lx的照度下，离眼30~40cm处，观察约5~10s。</w:t>
            </w:r>
          </w:p>
        </w:tc>
        <w:tc>
          <w:tcPr>
            <w:tcW w:w="432" w:type="pct"/>
            <w:vAlign w:val="center"/>
          </w:tcPr>
          <w:p w14:paraId="12D4721B" w14:textId="7FFE88A5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</w:t>
            </w:r>
          </w:p>
        </w:tc>
        <w:tc>
          <w:tcPr>
            <w:tcW w:w="511" w:type="pct"/>
            <w:vAlign w:val="center"/>
          </w:tcPr>
          <w:p w14:paraId="5DC3CDC7" w14:textId="7FFE88A6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2828.1，I，AQL=0.4</w:t>
            </w:r>
          </w:p>
        </w:tc>
      </w:tr>
      <w:tr w14:paraId="7810C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77" w:hRule="atLeast"/>
        </w:trPr>
        <w:tc>
          <w:tcPr>
            <w:tcW w:w="187" w:type="pct"/>
            <w:vMerge w:val="restart"/>
            <w:vAlign w:val="center"/>
          </w:tcPr>
          <w:p w14:paraId="162C6DCC" w14:textId="7FFE88A7">
            <w:pPr>
              <w:numPr>
                <w:ilvl w:val="0"/>
                <w:numId w:val="2"/>
              </w:numPr>
              <w:bidi w:val="0"/>
              <w:adjustRightInd w:val="0"/>
              <w:snapToGrid w:val="0"/>
              <w:spacing w:line="240" w:lineRule="auto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restart"/>
            <w:vAlign w:val="center"/>
          </w:tcPr>
          <w:p w14:paraId="09A19876" w14:textId="7FFE88A8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组装螺杆八组件</w:t>
            </w:r>
          </w:p>
        </w:tc>
        <w:tc>
          <w:tcPr>
            <w:tcW w:w="395" w:type="pct"/>
            <w:gridSpan w:val="2"/>
            <w:vAlign w:val="center"/>
          </w:tcPr>
          <w:p w14:paraId="3CB2558A" w14:textId="7FFE88A9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外观</w:t>
            </w:r>
          </w:p>
        </w:tc>
        <w:tc>
          <w:tcPr>
            <w:tcW w:w="1568" w:type="pct"/>
            <w:vAlign w:val="center"/>
          </w:tcPr>
          <w:p w14:paraId="533740CF" w14:textId="7FFE88AA">
            <w:pPr>
              <w:pStyle w:val="11"/>
              <w:numPr>
                <w:ilvl w:val="0"/>
                <w:numId w:val="3"/>
              </w:numPr>
              <w:ind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硅化后杠杆架表面应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无多余硅油；</w:t>
            </w:r>
          </w:p>
          <w:p w14:paraId="15304BF5" w14:textId="7FFE88AB">
            <w:pPr>
              <w:pStyle w:val="11"/>
              <w:numPr>
                <w:ilvl w:val="0"/>
                <w:numId w:val="3"/>
              </w:numPr>
              <w:ind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组装杠杆架后组件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表面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应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清洁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、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无黑点、异物，无划伤、无注塑缺陷；</w:t>
            </w:r>
          </w:p>
          <w:p w14:paraId="6DE0DEFD" w14:textId="7FFE88AC">
            <w:pPr>
              <w:pStyle w:val="11"/>
              <w:numPr>
                <w:ilvl w:val="0"/>
                <w:numId w:val="3"/>
              </w:numPr>
              <w:ind w:left="360" w:leftChars="0" w:hanging="360" w:firstLineChars="0"/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组装后芯杆应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无多余毛屑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；</w:t>
            </w:r>
          </w:p>
          <w:p w14:paraId="0B61C14F" w14:textId="7FFE88AD">
            <w:pPr>
              <w:pStyle w:val="11"/>
              <w:numPr>
                <w:ilvl w:val="0"/>
                <w:numId w:val="3"/>
              </w:numPr>
              <w:ind w:left="360" w:leftChars="0" w:hanging="360" w:firstLineChars="0"/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硅化后螺杆表面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应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无成滴的硅油汇聚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；</w:t>
            </w:r>
          </w:p>
          <w:p w14:paraId="66D97F0C" w14:textId="7FFE88AE">
            <w:pPr>
              <w:pStyle w:val="11"/>
              <w:numPr>
                <w:ilvl w:val="0"/>
                <w:numId w:val="3"/>
              </w:numPr>
              <w:ind w:left="360" w:leftChars="0" w:hanging="360" w:firstLineChars="0"/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组装螺杆后组件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表面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应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清洁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、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无黑点、异物，无划伤、无注塑缺陷；</w:t>
            </w:r>
            <w:bookmarkStart w:name="OLE_LINK1" w:id="1"/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表面无成滴的硅油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。</w:t>
            </w:r>
            <w:bookmarkEnd w:id="1"/>
          </w:p>
        </w:tc>
        <w:tc>
          <w:tcPr>
            <w:tcW w:w="1568" w:type="pct"/>
            <w:vAlign w:val="center"/>
          </w:tcPr>
          <w:p w14:paraId="465AD072" w14:textId="7FFE88AF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正常或矫正视力，在300~700lx的照度下，离眼30~40cm处，观察约5~10s。</w:t>
            </w:r>
          </w:p>
        </w:tc>
        <w:tc>
          <w:tcPr>
            <w:tcW w:w="432" w:type="pct"/>
            <w:vAlign w:val="center"/>
          </w:tcPr>
          <w:p w14:paraId="09CDF7E1" w14:textId="7FFE88B0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</w:t>
            </w:r>
          </w:p>
        </w:tc>
        <w:tc>
          <w:tcPr>
            <w:tcW w:w="511" w:type="pct"/>
            <w:vAlign w:val="center"/>
          </w:tcPr>
          <w:p w14:paraId="639B821A" w14:textId="7FFE88B1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首件：13件</w:t>
            </w:r>
          </w:p>
          <w:p w14:paraId="3F5128C5" w14:textId="7FFE88B2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2828.1，I，AQL=0.4</w:t>
            </w:r>
          </w:p>
        </w:tc>
      </w:tr>
      <w:tr w14:paraId="63C7D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47" w:hRule="atLeast"/>
        </w:trPr>
        <w:tc>
          <w:tcPr>
            <w:tcW w:w="187" w:type="pct"/>
            <w:vMerge w:val="continue"/>
            <w:vAlign w:val="center"/>
          </w:tcPr>
          <w:p w14:paraId="63282A1B" w14:textId="7FFE88B3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continue"/>
            <w:vAlign w:val="center"/>
          </w:tcPr>
          <w:p w14:paraId="077C0E1C" w14:textId="7FFE88B4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5" w:type="pct"/>
            <w:gridSpan w:val="2"/>
            <w:vAlign w:val="center"/>
          </w:tcPr>
          <w:p w14:paraId="2573854E" w14:textId="7FFE88B5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无跳压</w:t>
            </w:r>
          </w:p>
        </w:tc>
        <w:tc>
          <w:tcPr>
            <w:tcW w:w="1568" w:type="pct"/>
            <w:vAlign w:val="center"/>
          </w:tcPr>
          <w:p w14:paraId="09B04E8B" w14:textId="7FFE88B6">
            <w:pPr>
              <w:pStyle w:val="2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20atm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压力打至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0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atm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应无跳压现象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；</w:t>
            </w:r>
          </w:p>
          <w:p w14:paraId="0427E265" w14:textId="7FFE88B7">
            <w:pPr>
              <w:pStyle w:val="2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30atm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压力打至30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atm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应无跳压现象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；</w:t>
            </w:r>
          </w:p>
          <w:p w14:paraId="12199B79" w14:textId="7FFE88B8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40atm压力泵需打压至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40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atm无跳压现象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。</w:t>
            </w:r>
          </w:p>
        </w:tc>
        <w:tc>
          <w:tcPr>
            <w:tcW w:w="1568" w:type="pct"/>
            <w:vAlign w:val="center"/>
          </w:tcPr>
          <w:p w14:paraId="3B688195" w14:textId="7FFE88B9">
            <w:pPr>
              <w:pStyle w:val="2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将推杆装到检测专用的泵筒(吸入10ML水)上，将压力打至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20atm/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30atm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/40atm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应无跳压现象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。</w:t>
            </w:r>
          </w:p>
        </w:tc>
        <w:tc>
          <w:tcPr>
            <w:tcW w:w="432" w:type="pct"/>
            <w:vAlign w:val="center"/>
          </w:tcPr>
          <w:p w14:paraId="6001457A" w14:textId="7FFE88BA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检测专用泵筒</w:t>
            </w:r>
          </w:p>
        </w:tc>
        <w:tc>
          <w:tcPr>
            <w:tcW w:w="511" w:type="pct"/>
            <w:vAlign w:val="center"/>
          </w:tcPr>
          <w:p w14:paraId="65E0A564" w14:textId="7FFE88BB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首件：5件</w:t>
            </w:r>
          </w:p>
          <w:p w14:paraId="3C6798A3" w14:textId="7FFE88BC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2828.1，S-3，AQL=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0.4</w:t>
            </w:r>
          </w:p>
        </w:tc>
      </w:tr>
      <w:tr w14:paraId="3FB39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1" w:hRule="atLeast"/>
        </w:trPr>
        <w:tc>
          <w:tcPr>
            <w:tcW w:w="187" w:type="pct"/>
            <w:vMerge w:val="restart"/>
            <w:vAlign w:val="center"/>
          </w:tcPr>
          <w:p w14:paraId="6AC80954" w14:textId="7FFE88BD">
            <w:pPr>
              <w:numPr>
                <w:ilvl w:val="0"/>
                <w:numId w:val="2"/>
              </w:num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restart"/>
            <w:vAlign w:val="center"/>
          </w:tcPr>
          <w:p w14:paraId="0EF749F7" w14:textId="7FFE88BE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光固外套四组件</w:t>
            </w:r>
          </w:p>
        </w:tc>
        <w:tc>
          <w:tcPr>
            <w:tcW w:w="175" w:type="pct"/>
            <w:vMerge w:val="restart"/>
            <w:vAlign w:val="center"/>
          </w:tcPr>
          <w:p w14:paraId="50A25440" w14:textId="7FFE88BF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光固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旋转接头</w:t>
            </w:r>
          </w:p>
        </w:tc>
        <w:tc>
          <w:tcPr>
            <w:tcW w:w="220" w:type="pct"/>
            <w:vAlign w:val="center"/>
          </w:tcPr>
          <w:p w14:paraId="40106C07" w14:textId="7FFE88C0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外观</w:t>
            </w:r>
          </w:p>
        </w:tc>
        <w:tc>
          <w:tcPr>
            <w:tcW w:w="1568" w:type="pct"/>
            <w:vAlign w:val="center"/>
          </w:tcPr>
          <w:p w14:paraId="52C02975" w14:textId="7FFE88C1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延长管和旋转接头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：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光固位置应整洁均匀圆滑美观；胶水未污染其它地方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1568" w:type="pct"/>
            <w:vAlign w:val="center"/>
          </w:tcPr>
          <w:p w14:paraId="308617A9" w14:textId="7FFE88C2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正常或矫正视力，在300~700lx的照度下，离眼30~40cm处，观察约5~10s。</w:t>
            </w:r>
          </w:p>
        </w:tc>
        <w:tc>
          <w:tcPr>
            <w:tcW w:w="432" w:type="pct"/>
            <w:vAlign w:val="center"/>
          </w:tcPr>
          <w:p w14:paraId="2B3EFD24" w14:textId="7FFE88C3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</w:t>
            </w:r>
          </w:p>
        </w:tc>
        <w:tc>
          <w:tcPr>
            <w:tcW w:w="511" w:type="pct"/>
            <w:vAlign w:val="center"/>
          </w:tcPr>
          <w:p w14:paraId="17A987A6" w14:textId="7FFE88C4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首件：13件</w:t>
            </w:r>
          </w:p>
          <w:p w14:paraId="2FE7217C" w14:textId="7FFE88C5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GB/T 2828.1，I，AQL=0.4</w:t>
            </w:r>
          </w:p>
        </w:tc>
      </w:tr>
      <w:tr w14:paraId="70BF9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1" w:hRule="atLeast"/>
        </w:trPr>
        <w:tc>
          <w:tcPr>
            <w:tcW w:w="187" w:type="pct"/>
            <w:vMerge w:val="continue"/>
            <w:vAlign w:val="center"/>
          </w:tcPr>
          <w:p w14:paraId="45B28058" w14:textId="7FFE88C6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continue"/>
            <w:vAlign w:val="center"/>
          </w:tcPr>
          <w:p w14:paraId="6A19A3A3" w14:textId="7FFE88C7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5" w:type="pct"/>
            <w:vMerge w:val="continue"/>
            <w:vAlign w:val="center"/>
          </w:tcPr>
          <w:p w14:paraId="39FC9074" w14:textId="7FFE88C8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20" w:type="pct"/>
            <w:vAlign w:val="center"/>
          </w:tcPr>
          <w:p w14:paraId="7C82CCC6" w14:textId="7FFE88C9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牢固度</w:t>
            </w:r>
          </w:p>
        </w:tc>
        <w:tc>
          <w:tcPr>
            <w:tcW w:w="1568" w:type="pct"/>
            <w:vAlign w:val="center"/>
          </w:tcPr>
          <w:p w14:paraId="45D5219F" w14:textId="7FFE88CA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连接处施加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15N的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静态轴向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拉力保持15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s，应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不脱落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。</w:t>
            </w:r>
          </w:p>
          <w:p w14:paraId="21F9721B" w14:textId="7FFE88CB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568" w:type="pct"/>
            <w:vAlign w:val="center"/>
          </w:tcPr>
          <w:p w14:paraId="718B70C4" w14:textId="7FFE88CC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用15N的砝码悬挂，停留15s。</w:t>
            </w:r>
          </w:p>
        </w:tc>
        <w:tc>
          <w:tcPr>
            <w:tcW w:w="432" w:type="pct"/>
            <w:vAlign w:val="center"/>
          </w:tcPr>
          <w:p w14:paraId="22A064FE" w14:textId="7FFE88CD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  <w:t>15N砝码</w:t>
            </w:r>
          </w:p>
        </w:tc>
        <w:tc>
          <w:tcPr>
            <w:tcW w:w="511" w:type="pct"/>
            <w:vAlign w:val="center"/>
          </w:tcPr>
          <w:p w14:paraId="7266EEF2" w14:textId="7FFE88CE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首件：5件</w:t>
            </w:r>
          </w:p>
          <w:p w14:paraId="3F5240B7" w14:textId="7FFE88CF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2828.1，S-3，AQL=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0.4</w:t>
            </w:r>
          </w:p>
        </w:tc>
      </w:tr>
      <w:tr w14:paraId="38E0F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1" w:hRule="atLeast"/>
        </w:trPr>
        <w:tc>
          <w:tcPr>
            <w:tcW w:w="187" w:type="pct"/>
            <w:vMerge w:val="continue"/>
            <w:vAlign w:val="center"/>
          </w:tcPr>
          <w:p w14:paraId="1C705623" w14:textId="7FFE88D0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continue"/>
            <w:vAlign w:val="center"/>
          </w:tcPr>
          <w:p w14:paraId="09D92742" w14:textId="7FFE88D1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5" w:type="pct"/>
            <w:vMerge w:val="restart"/>
            <w:vAlign w:val="center"/>
          </w:tcPr>
          <w:p w14:paraId="4DA1B523" w14:textId="7FFE88D2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光固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压力表</w:t>
            </w:r>
          </w:p>
        </w:tc>
        <w:tc>
          <w:tcPr>
            <w:tcW w:w="220" w:type="pct"/>
            <w:vAlign w:val="center"/>
          </w:tcPr>
          <w:p w14:paraId="73EE48B8" w14:textId="7FFE88D3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外观</w:t>
            </w:r>
          </w:p>
        </w:tc>
        <w:tc>
          <w:tcPr>
            <w:tcW w:w="1568" w:type="pct"/>
            <w:vAlign w:val="center"/>
          </w:tcPr>
          <w:p w14:paraId="21DF5C7B" w14:textId="7FFE88D4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外套与压力表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：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光固位置应整洁均匀圆滑美观；胶水未污染其它地方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。</w:t>
            </w:r>
          </w:p>
          <w:p w14:paraId="48122DC9" w14:textId="7FFE88D5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568" w:type="pct"/>
            <w:vAlign w:val="center"/>
          </w:tcPr>
          <w:p w14:paraId="3B80C931" w14:textId="7FFE88D6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正常或矫正视力，在300~700lx的照度下，离眼30~40cm处，观察约5~10s。</w:t>
            </w:r>
          </w:p>
        </w:tc>
        <w:tc>
          <w:tcPr>
            <w:tcW w:w="432" w:type="pct"/>
            <w:vAlign w:val="center"/>
          </w:tcPr>
          <w:p w14:paraId="7C094E93" w14:textId="7FFE88D7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</w:t>
            </w:r>
          </w:p>
        </w:tc>
        <w:tc>
          <w:tcPr>
            <w:tcW w:w="511" w:type="pct"/>
            <w:vAlign w:val="center"/>
          </w:tcPr>
          <w:p w14:paraId="3B78AC52" w14:textId="7FFE88D8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首件：13件</w:t>
            </w:r>
          </w:p>
          <w:p w14:paraId="4AED534E" w14:textId="7FFE88D9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GB/T 2828.1，I，AQL=0.4</w:t>
            </w:r>
          </w:p>
        </w:tc>
      </w:tr>
      <w:tr w14:paraId="10F07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1" w:hRule="atLeast"/>
        </w:trPr>
        <w:tc>
          <w:tcPr>
            <w:tcW w:w="187" w:type="pct"/>
            <w:vMerge w:val="continue"/>
            <w:vAlign w:val="center"/>
          </w:tcPr>
          <w:p w14:paraId="210A5A70" w14:textId="7FFE88DA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continue"/>
            <w:vAlign w:val="center"/>
          </w:tcPr>
          <w:p w14:paraId="255FD663" w14:textId="7FFE88DB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5" w:type="pct"/>
            <w:vMerge w:val="continue"/>
            <w:vAlign w:val="center"/>
          </w:tcPr>
          <w:p w14:paraId="46BF006A" w14:textId="7FFE88DC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20" w:type="pct"/>
            <w:vAlign w:val="center"/>
          </w:tcPr>
          <w:p w14:paraId="4828B7B7" w14:textId="7FFE88DD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牢固度</w:t>
            </w:r>
          </w:p>
        </w:tc>
        <w:tc>
          <w:tcPr>
            <w:tcW w:w="1568" w:type="pct"/>
            <w:vAlign w:val="center"/>
          </w:tcPr>
          <w:p w14:paraId="371982BE" w14:textId="7FFE88DE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连接处施加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15N的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静态轴向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拉力保持15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s，应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不脱落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。</w:t>
            </w:r>
          </w:p>
        </w:tc>
        <w:tc>
          <w:tcPr>
            <w:tcW w:w="1568" w:type="pct"/>
            <w:vAlign w:val="center"/>
          </w:tcPr>
          <w:p w14:paraId="48F7A74F" w14:textId="7FFE88DF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用15N的砝码悬挂，停留15s。</w:t>
            </w:r>
          </w:p>
        </w:tc>
        <w:tc>
          <w:tcPr>
            <w:tcW w:w="432" w:type="pct"/>
            <w:vAlign w:val="center"/>
          </w:tcPr>
          <w:p w14:paraId="0AF1FA99" w14:textId="7FFE88E0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  <w:t>15N砝码</w:t>
            </w:r>
          </w:p>
        </w:tc>
        <w:tc>
          <w:tcPr>
            <w:tcW w:w="511" w:type="pct"/>
            <w:vAlign w:val="center"/>
          </w:tcPr>
          <w:p w14:paraId="47E43B88" w14:textId="7FFE88E1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首件：5件</w:t>
            </w:r>
          </w:p>
          <w:p w14:paraId="216F5832" w14:textId="7FFE88E2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2828.1，S-3，AQL=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0.4</w:t>
            </w:r>
          </w:p>
        </w:tc>
      </w:tr>
      <w:tr w14:paraId="4D7D5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6" w:hRule="atLeast"/>
        </w:trPr>
        <w:tc>
          <w:tcPr>
            <w:tcW w:w="187" w:type="pct"/>
            <w:vMerge w:val="continue"/>
            <w:vAlign w:val="center"/>
          </w:tcPr>
          <w:p w14:paraId="661F54C1" w14:textId="7FFE88E3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continue"/>
            <w:vAlign w:val="center"/>
          </w:tcPr>
          <w:p w14:paraId="2B36B2C8" w14:textId="7FFE88E4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5" w:type="pct"/>
            <w:vMerge w:val="restart"/>
            <w:vAlign w:val="center"/>
          </w:tcPr>
          <w:p w14:paraId="5C14F931" w14:textId="7FFE88E5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光固延长管</w:t>
            </w:r>
          </w:p>
        </w:tc>
        <w:tc>
          <w:tcPr>
            <w:tcW w:w="220" w:type="pct"/>
            <w:vAlign w:val="center"/>
          </w:tcPr>
          <w:p w14:paraId="56EAA6EB" w14:textId="7FFE88E6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外观</w:t>
            </w:r>
          </w:p>
        </w:tc>
        <w:tc>
          <w:tcPr>
            <w:tcW w:w="1568" w:type="pct"/>
            <w:vAlign w:val="center"/>
          </w:tcPr>
          <w:p w14:paraId="7CB200AB" w14:textId="7FFE88E7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延长管与外套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：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光固位置应整洁均匀圆滑美观；胶水未污染其它地方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1568" w:type="pct"/>
            <w:vAlign w:val="center"/>
          </w:tcPr>
          <w:p w14:paraId="30436B21" w14:textId="7FFE88E8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正常或矫正视力，在300~700lx的照度下，离眼30~40cm处，观察约5~10s。</w:t>
            </w:r>
          </w:p>
        </w:tc>
        <w:tc>
          <w:tcPr>
            <w:tcW w:w="432" w:type="pct"/>
            <w:vAlign w:val="center"/>
          </w:tcPr>
          <w:p w14:paraId="6C0277AF" w14:textId="7FFE88E9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</w:t>
            </w:r>
          </w:p>
        </w:tc>
        <w:tc>
          <w:tcPr>
            <w:tcW w:w="511" w:type="pct"/>
            <w:vAlign w:val="center"/>
          </w:tcPr>
          <w:p w14:paraId="50442DDF" w14:textId="7FFE88EA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首件：13件</w:t>
            </w:r>
          </w:p>
          <w:p w14:paraId="255020CC" w14:textId="7FFE88EB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GB/T 2828.1，I，AQL=0.4</w:t>
            </w:r>
          </w:p>
        </w:tc>
      </w:tr>
      <w:tr w14:paraId="499A5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87" w:hRule="atLeast"/>
        </w:trPr>
        <w:tc>
          <w:tcPr>
            <w:tcW w:w="187" w:type="pct"/>
            <w:vMerge w:val="continue"/>
            <w:vAlign w:val="center"/>
          </w:tcPr>
          <w:p w14:paraId="3DF67B4F" w14:textId="7FFE88EC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continue"/>
            <w:vAlign w:val="center"/>
          </w:tcPr>
          <w:p w14:paraId="29D4092A" w14:textId="7FFE88ED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5" w:type="pct"/>
            <w:vMerge w:val="continue"/>
            <w:vAlign w:val="center"/>
          </w:tcPr>
          <w:p w14:paraId="01FA2B50" w14:textId="7FFE88EE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20" w:type="pct"/>
            <w:vAlign w:val="center"/>
          </w:tcPr>
          <w:p w14:paraId="4DC1E72A" w14:textId="7FFE88EF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牢固度</w:t>
            </w:r>
          </w:p>
        </w:tc>
        <w:tc>
          <w:tcPr>
            <w:tcW w:w="1568" w:type="pct"/>
            <w:vAlign w:val="center"/>
          </w:tcPr>
          <w:p w14:paraId="29C78A05" w14:textId="7FFE88F0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连接处施加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15N的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静态轴向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拉力保持15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s，应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不脱落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。</w:t>
            </w:r>
          </w:p>
        </w:tc>
        <w:tc>
          <w:tcPr>
            <w:tcW w:w="1568" w:type="pct"/>
            <w:vAlign w:val="center"/>
          </w:tcPr>
          <w:p w14:paraId="511995CD" w14:textId="7FFE88F1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用15N的砝码悬挂，停留15s。</w:t>
            </w:r>
          </w:p>
        </w:tc>
        <w:tc>
          <w:tcPr>
            <w:tcW w:w="432" w:type="pct"/>
            <w:vAlign w:val="center"/>
          </w:tcPr>
          <w:p w14:paraId="6904DF49" w14:textId="7FFE88F2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  <w:t>15N砝码</w:t>
            </w:r>
          </w:p>
        </w:tc>
        <w:tc>
          <w:tcPr>
            <w:tcW w:w="511" w:type="pct"/>
            <w:vAlign w:val="center"/>
          </w:tcPr>
          <w:p w14:paraId="5DF2FBAE" w14:textId="7FFE88F3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首件：5件</w:t>
            </w:r>
          </w:p>
          <w:p w14:paraId="7325071E" w14:textId="7FFE88F4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2828.1，S-3，AQL=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0.4</w:t>
            </w:r>
          </w:p>
        </w:tc>
      </w:tr>
      <w:tr w14:paraId="51EFD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87" w:hRule="atLeast"/>
        </w:trPr>
        <w:tc>
          <w:tcPr>
            <w:tcW w:w="187" w:type="pct"/>
            <w:vMerge w:val="restart"/>
            <w:vAlign w:val="center"/>
          </w:tcPr>
          <w:p w14:paraId="4DBAE9ED" w14:textId="7FFE88F5">
            <w:pPr>
              <w:numPr>
                <w:ilvl w:val="0"/>
                <w:numId w:val="2"/>
              </w:num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restart"/>
            <w:vAlign w:val="center"/>
          </w:tcPr>
          <w:p w14:paraId="08DD7A7B" w14:textId="7FFE88F6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装配</w:t>
            </w:r>
          </w:p>
        </w:tc>
        <w:tc>
          <w:tcPr>
            <w:tcW w:w="175" w:type="pct"/>
            <w:vAlign w:val="center"/>
          </w:tcPr>
          <w:p w14:paraId="5CDD3E06" w14:textId="7FFE88F7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装配活塞</w:t>
            </w:r>
          </w:p>
        </w:tc>
        <w:tc>
          <w:tcPr>
            <w:tcW w:w="220" w:type="pct"/>
            <w:vAlign w:val="center"/>
          </w:tcPr>
          <w:p w14:paraId="0725AABA" w14:textId="7FFE88F8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外观</w:t>
            </w:r>
          </w:p>
        </w:tc>
        <w:tc>
          <w:tcPr>
            <w:tcW w:w="1568" w:type="pct"/>
            <w:vAlign w:val="center"/>
          </w:tcPr>
          <w:p w14:paraId="108CC756" w14:textId="7FFE88F9">
            <w:pPr>
              <w:pStyle w:val="11"/>
              <w:numPr>
                <w:ilvl w:val="0"/>
                <w:numId w:val="4"/>
              </w:numPr>
              <w:ind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表面清洁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、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无黑点、异物，无划伤、无注塑缺陷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；</w:t>
            </w:r>
          </w:p>
          <w:p w14:paraId="5EAA5FCD" w14:textId="7FFE88FA">
            <w:pPr>
              <w:pStyle w:val="11"/>
              <w:numPr>
                <w:ilvl w:val="0"/>
                <w:numId w:val="4"/>
              </w:numPr>
              <w:ind w:left="360" w:leftChars="0" w:hanging="360"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放置活塞时应注意活塞是否放正，避免压偏侧倒，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活塞应卡紧。</w:t>
            </w:r>
          </w:p>
        </w:tc>
        <w:tc>
          <w:tcPr>
            <w:tcW w:w="1568" w:type="pct"/>
            <w:vAlign w:val="center"/>
          </w:tcPr>
          <w:p w14:paraId="633FBAC8" w14:textId="7FFE88FB">
            <w:pP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正常或矫正视力，在300~700lx的照度下，离眼30~40cm处，观察约5~10s。</w:t>
            </w:r>
          </w:p>
        </w:tc>
        <w:tc>
          <w:tcPr>
            <w:tcW w:w="432" w:type="pct"/>
            <w:vAlign w:val="center"/>
          </w:tcPr>
          <w:p w14:paraId="24C67240" w14:textId="7FFE88FC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</w:t>
            </w:r>
          </w:p>
        </w:tc>
        <w:tc>
          <w:tcPr>
            <w:tcW w:w="511" w:type="pct"/>
            <w:vAlign w:val="center"/>
          </w:tcPr>
          <w:p w14:paraId="293D020E" w14:textId="7FFE88FD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首件：13件</w:t>
            </w:r>
          </w:p>
          <w:p w14:paraId="7A429880" w14:textId="7FFE88FE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2828.1，I，AQL=0.4</w:t>
            </w:r>
          </w:p>
        </w:tc>
      </w:tr>
      <w:tr w14:paraId="0970C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87" w:hRule="atLeast"/>
        </w:trPr>
        <w:tc>
          <w:tcPr>
            <w:tcW w:w="187" w:type="pct"/>
            <w:vMerge w:val="continue"/>
            <w:vAlign w:val="center"/>
          </w:tcPr>
          <w:p w14:paraId="06406ECF" w14:textId="7FFE88FF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continue"/>
            <w:vAlign w:val="center"/>
          </w:tcPr>
          <w:p w14:paraId="7A439FC8" w14:textId="7FFE8900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5" w:type="pct"/>
            <w:vAlign w:val="center"/>
          </w:tcPr>
          <w:p w14:paraId="5EDADC2E" w14:textId="7FFE8901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硅化活塞环</w:t>
            </w:r>
          </w:p>
        </w:tc>
        <w:tc>
          <w:tcPr>
            <w:tcW w:w="220" w:type="pct"/>
            <w:vAlign w:val="center"/>
          </w:tcPr>
          <w:p w14:paraId="45258BAA" w14:textId="7FFE8902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外观</w:t>
            </w:r>
          </w:p>
        </w:tc>
        <w:tc>
          <w:tcPr>
            <w:tcW w:w="1568" w:type="pct"/>
            <w:vAlign w:val="center"/>
          </w:tcPr>
          <w:p w14:paraId="627FE8D2" w14:textId="7FFE8903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硅化后活塞环表面无成滴的硅油汇聚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。</w:t>
            </w:r>
          </w:p>
        </w:tc>
        <w:tc>
          <w:tcPr>
            <w:tcW w:w="1568" w:type="pct"/>
            <w:vAlign w:val="center"/>
          </w:tcPr>
          <w:p w14:paraId="6F34835B" w14:textId="7FFE8904">
            <w:pP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正常或矫正视力，在300~700lx的照度下，离眼30~40cm处，观察约5~10s。</w:t>
            </w:r>
          </w:p>
        </w:tc>
        <w:tc>
          <w:tcPr>
            <w:tcW w:w="432" w:type="pct"/>
            <w:vAlign w:val="center"/>
          </w:tcPr>
          <w:p w14:paraId="4A66DF6D" w14:textId="7FFE8905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</w:t>
            </w:r>
          </w:p>
        </w:tc>
        <w:tc>
          <w:tcPr>
            <w:tcW w:w="511" w:type="pct"/>
            <w:vAlign w:val="center"/>
          </w:tcPr>
          <w:p w14:paraId="0B98645D" w14:textId="7FFE8906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首件：13件</w:t>
            </w:r>
          </w:p>
          <w:p w14:paraId="12F52E2C" w14:textId="7FFE8907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2828.1，I，AQL=0.4</w:t>
            </w:r>
          </w:p>
        </w:tc>
      </w:tr>
      <w:tr w14:paraId="1B448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87" w:hRule="atLeast"/>
        </w:trPr>
        <w:tc>
          <w:tcPr>
            <w:tcW w:w="187" w:type="pct"/>
            <w:vMerge w:val="continue"/>
            <w:vAlign w:val="center"/>
          </w:tcPr>
          <w:p w14:paraId="22A51A62" w14:textId="7FFE8908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continue"/>
            <w:vAlign w:val="center"/>
          </w:tcPr>
          <w:p w14:paraId="75F37508" w14:textId="7FFE8909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5" w:type="pct"/>
            <w:vMerge w:val="restart"/>
            <w:vAlign w:val="center"/>
          </w:tcPr>
          <w:p w14:paraId="7FFE8837" w14:textId="7FFE890A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装配活塞环</w:t>
            </w:r>
          </w:p>
        </w:tc>
        <w:tc>
          <w:tcPr>
            <w:tcW w:w="220" w:type="pct"/>
            <w:vAlign w:val="center"/>
          </w:tcPr>
          <w:p w14:paraId="06D0F0BA" w14:textId="7FFE890B">
            <w:pP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外观</w:t>
            </w:r>
          </w:p>
        </w:tc>
        <w:tc>
          <w:tcPr>
            <w:tcW w:w="1568" w:type="pct"/>
            <w:vAlign w:val="center"/>
          </w:tcPr>
          <w:p w14:paraId="10A6619D" w14:textId="7FFE890C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活塞环表面应干净无异物，边缘无缺损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。</w:t>
            </w:r>
          </w:p>
        </w:tc>
        <w:tc>
          <w:tcPr>
            <w:tcW w:w="1568" w:type="pct"/>
            <w:vAlign w:val="center"/>
          </w:tcPr>
          <w:p w14:paraId="44BB4055" w14:textId="7FFE890D">
            <w:pP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正常或矫正视力，在300~700lx的照度下，离眼30~40cm处，观察约5~10s。</w:t>
            </w:r>
          </w:p>
        </w:tc>
        <w:tc>
          <w:tcPr>
            <w:tcW w:w="432" w:type="pct"/>
            <w:vAlign w:val="center"/>
          </w:tcPr>
          <w:p w14:paraId="2F342673" w14:textId="7FFE890E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</w:t>
            </w:r>
          </w:p>
        </w:tc>
        <w:tc>
          <w:tcPr>
            <w:tcW w:w="511" w:type="pct"/>
            <w:vAlign w:val="center"/>
          </w:tcPr>
          <w:p w14:paraId="44632370" w14:textId="7FFE890F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首件：13件</w:t>
            </w:r>
          </w:p>
          <w:p w14:paraId="097DE890" w14:textId="7FFE8910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2828.1，I，AQL=0.4</w:t>
            </w:r>
          </w:p>
        </w:tc>
      </w:tr>
      <w:tr w14:paraId="45A09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87" w:hRule="atLeast"/>
        </w:trPr>
        <w:tc>
          <w:tcPr>
            <w:tcW w:w="187" w:type="pct"/>
            <w:vMerge w:val="continue"/>
            <w:vAlign w:val="center"/>
          </w:tcPr>
          <w:p w14:paraId="1C0A1081" w14:textId="7FFE8911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continue"/>
            <w:vAlign w:val="center"/>
          </w:tcPr>
          <w:p w14:paraId="054FD63B" w14:textId="7FFE8912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5" w:type="pct"/>
            <w:vMerge w:val="continue"/>
            <w:vAlign w:val="center"/>
          </w:tcPr>
          <w:p w14:paraId="4605CE47" w14:textId="7FFE8913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20" w:type="pct"/>
            <w:vAlign w:val="center"/>
          </w:tcPr>
          <w:p w14:paraId="7358E0AC" w14:textId="7FFE8914">
            <w:pP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配合</w:t>
            </w:r>
          </w:p>
        </w:tc>
        <w:tc>
          <w:tcPr>
            <w:tcW w:w="1568" w:type="pct"/>
            <w:vAlign w:val="center"/>
          </w:tcPr>
          <w:p w14:paraId="741A9F6B" w14:textId="7FFE8915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活塞环套进活塞的槽中，套上后活塞环应轻松适度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1568" w:type="pct"/>
            <w:vAlign w:val="center"/>
          </w:tcPr>
          <w:p w14:paraId="51BFF4F2" w14:textId="7FFE8916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目测、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手感</w:t>
            </w:r>
          </w:p>
        </w:tc>
        <w:tc>
          <w:tcPr>
            <w:tcW w:w="432" w:type="pct"/>
            <w:vAlign w:val="center"/>
          </w:tcPr>
          <w:p w14:paraId="7421A165" w14:textId="7FFE8917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目测、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手感</w:t>
            </w:r>
          </w:p>
        </w:tc>
        <w:tc>
          <w:tcPr>
            <w:tcW w:w="511" w:type="pct"/>
            <w:vAlign w:val="center"/>
          </w:tcPr>
          <w:p w14:paraId="13E2936E" w14:textId="7FFE8918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首件：13件</w:t>
            </w:r>
          </w:p>
          <w:p w14:paraId="62008852" w14:textId="7FFE8919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2828.1，I，AQL=0.4</w:t>
            </w:r>
          </w:p>
        </w:tc>
      </w:tr>
      <w:tr w14:paraId="56D3C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6" w:hRule="atLeast"/>
        </w:trPr>
        <w:tc>
          <w:tcPr>
            <w:tcW w:w="187" w:type="pct"/>
            <w:vMerge w:val="continue"/>
            <w:vAlign w:val="center"/>
          </w:tcPr>
          <w:p w14:paraId="49272580" w14:textId="7FFE891A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continue"/>
            <w:vAlign w:val="center"/>
          </w:tcPr>
          <w:p w14:paraId="2BDC190F" w14:textId="7FFE891B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5" w:type="pct"/>
            <w:vMerge w:val="restart"/>
            <w:vAlign w:val="center"/>
          </w:tcPr>
          <w:p w14:paraId="392ED5E0" w14:textId="7FFE891C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外套组件与套筒组件装配</w:t>
            </w:r>
          </w:p>
        </w:tc>
        <w:tc>
          <w:tcPr>
            <w:tcW w:w="220" w:type="pct"/>
            <w:vAlign w:val="center"/>
          </w:tcPr>
          <w:p w14:paraId="4110D0DA" w14:textId="7FFE891D">
            <w:pP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外观</w:t>
            </w:r>
          </w:p>
        </w:tc>
        <w:tc>
          <w:tcPr>
            <w:tcW w:w="1568" w:type="pct"/>
            <w:vAlign w:val="center"/>
          </w:tcPr>
          <w:p w14:paraId="47B9CF32" w14:textId="7FFE891E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压力泵整体外观应无黑点、杂质、花纹、划痕等外观缺陷；</w:t>
            </w:r>
          </w:p>
          <w:p w14:paraId="36FD17AC" w14:textId="7FFE891F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压力泵内腔无异物、毛丝等活动异物；</w:t>
            </w:r>
          </w:p>
          <w:p w14:paraId="6BD8EC9F" w14:textId="7FFE8920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压力泵外套应有足够的透明度，能清晰地看到基准线；压力泵的第一条刻度线（泵体排空时）应与活塞重合。</w:t>
            </w:r>
          </w:p>
        </w:tc>
        <w:tc>
          <w:tcPr>
            <w:tcW w:w="1568" w:type="pct"/>
            <w:vAlign w:val="center"/>
          </w:tcPr>
          <w:p w14:paraId="20416717" w14:textId="7FFE8921">
            <w:pP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正常或矫正视力，在300~700lx的照度下，离眼30~40cm处，观察约5~10s。</w:t>
            </w:r>
          </w:p>
        </w:tc>
        <w:tc>
          <w:tcPr>
            <w:tcW w:w="432" w:type="pct"/>
            <w:vAlign w:val="center"/>
          </w:tcPr>
          <w:p w14:paraId="5D3C2175" w14:textId="7FFE8922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</w:t>
            </w:r>
          </w:p>
        </w:tc>
        <w:tc>
          <w:tcPr>
            <w:tcW w:w="511" w:type="pct"/>
            <w:vAlign w:val="center"/>
          </w:tcPr>
          <w:p w14:paraId="3A78F4DC" w14:textId="7FFE8923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首件：13件</w:t>
            </w:r>
          </w:p>
          <w:p w14:paraId="661D046E" w14:textId="7FFE8924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2828.1，I，AQL=0.4</w:t>
            </w:r>
          </w:p>
        </w:tc>
      </w:tr>
      <w:tr w14:paraId="0D56E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6" w:hRule="atLeast"/>
        </w:trPr>
        <w:tc>
          <w:tcPr>
            <w:tcW w:w="187" w:type="pct"/>
            <w:vMerge w:val="continue"/>
            <w:vAlign w:val="center"/>
          </w:tcPr>
          <w:p w14:paraId="46129667" w14:textId="7FFE8925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continue"/>
            <w:vAlign w:val="center"/>
          </w:tcPr>
          <w:p w14:paraId="42CF5B95" w14:textId="7FFE8926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5" w:type="pct"/>
            <w:vMerge w:val="continue"/>
            <w:vAlign w:val="center"/>
          </w:tcPr>
          <w:p w14:paraId="15404ECE" w14:textId="7FFE8927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20" w:type="pct"/>
            <w:vAlign w:val="center"/>
          </w:tcPr>
          <w:p w14:paraId="51ED8160" w14:textId="7FFE8928">
            <w:pP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配合</w:t>
            </w:r>
          </w:p>
        </w:tc>
        <w:tc>
          <w:tcPr>
            <w:tcW w:w="1568" w:type="pct"/>
            <w:vAlign w:val="center"/>
          </w:tcPr>
          <w:p w14:paraId="590B3552" w14:textId="7FFE8929">
            <w:pPr>
              <w:pStyle w:val="11"/>
              <w:numPr>
                <w:ilvl w:val="0"/>
                <w:numId w:val="5"/>
              </w:numPr>
              <w:ind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推杆组件推入外套，后盖与外套的卡槽扣到位，旋转后盖使得后盖与外套的缺口完全一致，不能偏掉；</w:t>
            </w:r>
          </w:p>
          <w:p w14:paraId="3292F394" w14:textId="7FFE892A">
            <w:pPr>
              <w:pStyle w:val="11"/>
              <w:numPr>
                <w:ilvl w:val="0"/>
                <w:numId w:val="5"/>
              </w:numPr>
              <w:ind w:left="360" w:leftChars="0" w:hanging="360"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旋转螺杆检查扭力不应偏大，按下按钮推拉螺杆看应无干涉及推拉力偏大；</w:t>
            </w:r>
          </w:p>
        </w:tc>
        <w:tc>
          <w:tcPr>
            <w:tcW w:w="1568" w:type="pct"/>
            <w:vAlign w:val="center"/>
          </w:tcPr>
          <w:p w14:paraId="6C48CC91" w14:textId="7FFE892B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目测、手感</w:t>
            </w:r>
          </w:p>
        </w:tc>
        <w:tc>
          <w:tcPr>
            <w:tcW w:w="432" w:type="pct"/>
            <w:vAlign w:val="center"/>
          </w:tcPr>
          <w:p w14:paraId="01C176E5" w14:textId="7FFE892C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目测、手感</w:t>
            </w:r>
          </w:p>
        </w:tc>
        <w:tc>
          <w:tcPr>
            <w:tcW w:w="511" w:type="pct"/>
            <w:vAlign w:val="center"/>
          </w:tcPr>
          <w:p w14:paraId="58CBF7C8" w14:textId="7FFE892D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首件：13件</w:t>
            </w:r>
          </w:p>
          <w:p w14:paraId="28A6C1A9" w14:textId="7FFE892E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2828.1，I，AQL=0.4</w:t>
            </w:r>
          </w:p>
        </w:tc>
      </w:tr>
      <w:tr w14:paraId="3757D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1" w:hRule="atLeast"/>
        </w:trPr>
        <w:tc>
          <w:tcPr>
            <w:tcW w:w="187" w:type="pct"/>
            <w:vMerge w:val="restart"/>
            <w:vAlign w:val="center"/>
          </w:tcPr>
          <w:p w14:paraId="69C6045A" w14:textId="7FFE892F">
            <w:pPr>
              <w:numPr>
                <w:ilvl w:val="0"/>
                <w:numId w:val="2"/>
              </w:num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restart"/>
            <w:vAlign w:val="center"/>
          </w:tcPr>
          <w:p w14:paraId="215FA796" w14:textId="7FFE8930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整体</w:t>
            </w:r>
          </w:p>
          <w:p w14:paraId="09A73C6B" w14:textId="7FFE8931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粘结</w:t>
            </w:r>
          </w:p>
        </w:tc>
        <w:tc>
          <w:tcPr>
            <w:tcW w:w="395" w:type="pct"/>
            <w:gridSpan w:val="2"/>
            <w:vAlign w:val="center"/>
          </w:tcPr>
          <w:p w14:paraId="006BDFE4" w14:textId="7FFE8932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外观</w:t>
            </w:r>
          </w:p>
        </w:tc>
        <w:tc>
          <w:tcPr>
            <w:tcW w:w="1568" w:type="pct"/>
            <w:vAlign w:val="center"/>
          </w:tcPr>
          <w:p w14:paraId="52C830E6" w14:textId="7FFE8933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对气密性检测合格的产品进行外观检查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应无黑点、杂质、花纹、划痕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、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缺损、裂纹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等外观缺陷；不应有多余胶水外露；</w:t>
            </w:r>
          </w:p>
        </w:tc>
        <w:tc>
          <w:tcPr>
            <w:tcW w:w="1568" w:type="pct"/>
            <w:vAlign w:val="center"/>
          </w:tcPr>
          <w:p w14:paraId="4038D91D" w14:textId="7FFE8934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正常或矫正视力，在300~700lx的照度下，离眼30~40cm处，观察约5~10s。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，对气密性合格的产品进行观察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。</w:t>
            </w:r>
          </w:p>
        </w:tc>
        <w:tc>
          <w:tcPr>
            <w:tcW w:w="432" w:type="pct"/>
            <w:vAlign w:val="center"/>
          </w:tcPr>
          <w:p w14:paraId="35EC9B31" w14:textId="7FFE8935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</w:t>
            </w:r>
          </w:p>
        </w:tc>
        <w:tc>
          <w:tcPr>
            <w:tcW w:w="511" w:type="pct"/>
            <w:vAlign w:val="center"/>
          </w:tcPr>
          <w:p w14:paraId="5CD2AF87" w14:textId="7FFE8936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首件：13件</w:t>
            </w:r>
          </w:p>
          <w:p w14:paraId="3B481293" w14:textId="7FFE8937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2828.1，I，AQL=0.4</w:t>
            </w:r>
          </w:p>
        </w:tc>
      </w:tr>
      <w:tr w14:paraId="5DBFE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1" w:hRule="atLeast"/>
        </w:trPr>
        <w:tc>
          <w:tcPr>
            <w:tcW w:w="187" w:type="pct"/>
            <w:vMerge w:val="continue"/>
            <w:vAlign w:val="center"/>
          </w:tcPr>
          <w:p w14:paraId="26F54990" w14:textId="7FFE8938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continue"/>
            <w:vAlign w:val="center"/>
          </w:tcPr>
          <w:p w14:paraId="3D5D166E" w14:textId="7FFE8939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5" w:type="pct"/>
            <w:gridSpan w:val="2"/>
            <w:vAlign w:val="center"/>
          </w:tcPr>
          <w:p w14:paraId="65C8D978" w14:textId="7FFE893A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无卡阻</w:t>
            </w:r>
          </w:p>
        </w:tc>
        <w:tc>
          <w:tcPr>
            <w:tcW w:w="1568" w:type="pct"/>
            <w:vAlign w:val="center"/>
          </w:tcPr>
          <w:p w14:paraId="67B5FAC8" w14:textId="7FFE893B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将粘接完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成12小时后按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压按钮应无卡死现象，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来回抽拉推杆应顺畅无卡阻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1568" w:type="pct"/>
            <w:vAlign w:val="center"/>
          </w:tcPr>
          <w:p w14:paraId="63115706" w14:textId="7FFE893C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手感</w:t>
            </w:r>
          </w:p>
        </w:tc>
        <w:tc>
          <w:tcPr>
            <w:tcW w:w="432" w:type="pct"/>
            <w:vAlign w:val="center"/>
          </w:tcPr>
          <w:p w14:paraId="668C0112" w14:textId="7FFE893D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手感</w:t>
            </w:r>
          </w:p>
        </w:tc>
        <w:tc>
          <w:tcPr>
            <w:tcW w:w="511" w:type="pct"/>
            <w:vAlign w:val="center"/>
          </w:tcPr>
          <w:p w14:paraId="23ABF2BB" w14:textId="7FFE893E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首件：13件</w:t>
            </w:r>
          </w:p>
          <w:p w14:paraId="230B6FBA" w14:textId="7FFE893F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GB/T 2828.1，I，AQL=0.4</w:t>
            </w:r>
          </w:p>
        </w:tc>
      </w:tr>
      <w:tr w14:paraId="0DB08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1" w:hRule="atLeast"/>
        </w:trPr>
        <w:tc>
          <w:tcPr>
            <w:tcW w:w="187" w:type="pct"/>
            <w:vMerge w:val="continue"/>
            <w:vAlign w:val="center"/>
          </w:tcPr>
          <w:p w14:paraId="26E858FC" w14:textId="7FFE8940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continue"/>
            <w:vAlign w:val="center"/>
          </w:tcPr>
          <w:p w14:paraId="068C9651" w14:textId="7FFE8941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5" w:type="pct"/>
            <w:gridSpan w:val="2"/>
            <w:vAlign w:val="center"/>
          </w:tcPr>
          <w:p w14:paraId="321BD082" w14:textId="7FFE8942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牢固度</w:t>
            </w:r>
          </w:p>
        </w:tc>
        <w:tc>
          <w:tcPr>
            <w:tcW w:w="1568" w:type="pct"/>
            <w:vAlign w:val="center"/>
          </w:tcPr>
          <w:p w14:paraId="0B1D64DB" w14:textId="7FFE8943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连接处施加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15N的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静态轴向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拉力保持15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s，应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不脱落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。</w:t>
            </w:r>
          </w:p>
        </w:tc>
        <w:tc>
          <w:tcPr>
            <w:tcW w:w="1568" w:type="pct"/>
            <w:vAlign w:val="center"/>
          </w:tcPr>
          <w:p w14:paraId="685CDDC0" w14:textId="7FFE8944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用15N的砝码悬挂，停留15s。</w:t>
            </w:r>
          </w:p>
        </w:tc>
        <w:tc>
          <w:tcPr>
            <w:tcW w:w="432" w:type="pct"/>
            <w:vAlign w:val="center"/>
          </w:tcPr>
          <w:p w14:paraId="02DE1C90" w14:textId="7FFE8945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  <w:t>15N砝码</w:t>
            </w:r>
          </w:p>
        </w:tc>
        <w:tc>
          <w:tcPr>
            <w:tcW w:w="511" w:type="pct"/>
            <w:vAlign w:val="center"/>
          </w:tcPr>
          <w:p w14:paraId="641066B3" w14:textId="7FFE8946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首件：5件</w:t>
            </w:r>
          </w:p>
          <w:p w14:paraId="07685923" w14:textId="7FFE8947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2828.1，S-3，AQL=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0.4</w:t>
            </w:r>
          </w:p>
        </w:tc>
      </w:tr>
      <w:tr w14:paraId="4C4BF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6" w:hRule="atLeast"/>
        </w:trPr>
        <w:tc>
          <w:tcPr>
            <w:tcW w:w="187" w:type="pct"/>
            <w:vMerge w:val="continue"/>
            <w:vAlign w:val="center"/>
          </w:tcPr>
          <w:p w14:paraId="0CA6E230" w14:textId="7FFE8948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continue"/>
            <w:vAlign w:val="center"/>
          </w:tcPr>
          <w:p w14:paraId="7788638C" w14:textId="7FFE8949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5" w:type="pct"/>
            <w:gridSpan w:val="2"/>
            <w:vMerge w:val="restart"/>
            <w:vAlign w:val="center"/>
          </w:tcPr>
          <w:p w14:paraId="4E9910A8" w14:textId="7FFE894A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气密性</w:t>
            </w:r>
          </w:p>
        </w:tc>
        <w:tc>
          <w:tcPr>
            <w:tcW w:w="1568" w:type="pct"/>
            <w:vAlign w:val="center"/>
          </w:tcPr>
          <w:p w14:paraId="6D30103E" w14:textId="7FFE894B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负压检测：抽负压-80±5kpa，不应有泄漏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1568" w:type="pct"/>
            <w:vAlign w:val="center"/>
          </w:tcPr>
          <w:p w14:paraId="35FBA53D" w14:textId="7FFE894C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将粘接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完成12小时后的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压力泵接上气密性检测工装，抽负压-80±5kpa，观察有无泄漏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432" w:type="pct"/>
            <w:vMerge w:val="restart"/>
            <w:vAlign w:val="center"/>
          </w:tcPr>
          <w:p w14:paraId="44AA5252" w14:textId="7FFE894D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气密性检测工装</w:t>
            </w:r>
          </w:p>
        </w:tc>
        <w:tc>
          <w:tcPr>
            <w:tcW w:w="511" w:type="pct"/>
            <w:vAlign w:val="center"/>
          </w:tcPr>
          <w:p w14:paraId="52198D33" w14:textId="7FFE894E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首件：5件</w:t>
            </w:r>
          </w:p>
          <w:p w14:paraId="434D34C5" w14:textId="7FFE894F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2828.1，S-3，AQL=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0.4</w:t>
            </w:r>
          </w:p>
        </w:tc>
      </w:tr>
      <w:tr w14:paraId="0419D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6" w:hRule="atLeast"/>
        </w:trPr>
        <w:tc>
          <w:tcPr>
            <w:tcW w:w="187" w:type="pct"/>
            <w:vMerge w:val="continue"/>
            <w:vAlign w:val="center"/>
          </w:tcPr>
          <w:p w14:paraId="51C04692" w14:textId="7FFE8950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continue"/>
            <w:vAlign w:val="center"/>
          </w:tcPr>
          <w:p w14:paraId="7190D204" w14:textId="7FFE8951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5" w:type="pct"/>
            <w:gridSpan w:val="2"/>
            <w:vMerge w:val="continue"/>
            <w:vAlign w:val="center"/>
          </w:tcPr>
          <w:p w14:paraId="3ADB4EC3" w14:textId="7FFE8952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</w:pPr>
          </w:p>
        </w:tc>
        <w:tc>
          <w:tcPr>
            <w:tcW w:w="1568" w:type="pct"/>
            <w:vAlign w:val="center"/>
          </w:tcPr>
          <w:p w14:paraId="30232BA5" w14:textId="7FFE8953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高压检测：将负压检测合格的压力泵装到气密性检测工装上，通过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旋转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接头接上气源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其中20atm量程：20atm气源；30atm量程：30atm气源；40atm量程：40atm气源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，打开气源，观察压力表应能匀速上升到指定压力，到达最大压力后10s内压力表指针应无跳压、降压的现象，撤掉气源后，压力表应可以迅速回零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。</w:t>
            </w:r>
          </w:p>
        </w:tc>
        <w:tc>
          <w:tcPr>
            <w:tcW w:w="1568" w:type="pct"/>
            <w:vAlign w:val="center"/>
          </w:tcPr>
          <w:p w14:paraId="0756B453" w14:textId="7FFE8954">
            <w:pP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将负压检测合格的压力泵装到气密性检测工装上，进行检测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。</w:t>
            </w:r>
          </w:p>
        </w:tc>
        <w:tc>
          <w:tcPr>
            <w:tcW w:w="432" w:type="pct"/>
            <w:vMerge w:val="continue"/>
            <w:vAlign w:val="center"/>
          </w:tcPr>
          <w:p w14:paraId="5E4F4DFA" w14:textId="7FFE8955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11" w:type="pct"/>
            <w:vAlign w:val="center"/>
          </w:tcPr>
          <w:p w14:paraId="73569729" w14:textId="7FFE8956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首件：5件</w:t>
            </w:r>
          </w:p>
          <w:p w14:paraId="593DEFCB" w14:textId="7FFE8957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2828.1，S-3，AQL=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0.4</w:t>
            </w:r>
          </w:p>
        </w:tc>
      </w:tr>
      <w:tr w14:paraId="77833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6" w:hRule="atLeast"/>
        </w:trPr>
        <w:tc>
          <w:tcPr>
            <w:tcW w:w="187" w:type="pct"/>
            <w:vMerge w:val="continue"/>
            <w:vAlign w:val="center"/>
          </w:tcPr>
          <w:p w14:paraId="4692F980" w14:textId="7FFE8958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continue"/>
            <w:vAlign w:val="center"/>
          </w:tcPr>
          <w:p w14:paraId="6859B8A1" w14:textId="7FFE8959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5" w:type="pct"/>
            <w:gridSpan w:val="2"/>
            <w:vMerge w:val="continue"/>
            <w:vAlign w:val="center"/>
          </w:tcPr>
          <w:p w14:paraId="4FAB49F9" w14:textId="7FFE895A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568" w:type="pct"/>
            <w:vAlign w:val="center"/>
          </w:tcPr>
          <w:p w14:paraId="160318C5" w14:textId="7FFE895B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低压检测：将高压检测合格的压力泵装到气密性检测工装上，通过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旋转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接头接上8atm气源，打开气源，观察压力表指针，应可以匀速指示到测试压力值，不应有升压缓慢或直接从低压跳到8atm现象；撤掉气源后，压力表应可以迅速回零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。</w:t>
            </w:r>
          </w:p>
        </w:tc>
        <w:tc>
          <w:tcPr>
            <w:tcW w:w="1568" w:type="pct"/>
            <w:vAlign w:val="center"/>
          </w:tcPr>
          <w:p w14:paraId="6099BE0A" w14:textId="7FFE895C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将高压检测合格的压力泵装到气密性检测工装上，进行检测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。</w:t>
            </w:r>
          </w:p>
        </w:tc>
        <w:tc>
          <w:tcPr>
            <w:tcW w:w="432" w:type="pct"/>
            <w:vMerge w:val="continue"/>
            <w:vAlign w:val="center"/>
          </w:tcPr>
          <w:p w14:paraId="065FD9C4" w14:textId="7FFE895D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11" w:type="pct"/>
            <w:vAlign w:val="center"/>
          </w:tcPr>
          <w:p w14:paraId="37E6E962" w14:textId="7FFE895E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首件：5件</w:t>
            </w:r>
          </w:p>
          <w:p w14:paraId="02A0D64E" w14:textId="7FFE895F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2828.1，S-3，AQL=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0.4</w:t>
            </w:r>
          </w:p>
        </w:tc>
      </w:tr>
      <w:tr w14:paraId="75964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6" w:hRule="atLeast"/>
        </w:trPr>
        <w:tc>
          <w:tcPr>
            <w:tcW w:w="5000" w:type="pct"/>
            <w:gridSpan w:val="8"/>
            <w:vAlign w:val="center"/>
          </w:tcPr>
          <w:p w14:paraId="2E8A9072" w14:textId="7FFE8960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备注：</w:t>
            </w:r>
          </w:p>
          <w:p w14:paraId="1AD41941" w14:textId="7FFE8961">
            <w:pPr>
              <w:pStyle w:val="11"/>
              <w:numPr>
                <w:ilvl w:val="0"/>
                <w:numId w:val="6"/>
              </w:numPr>
              <w:ind w:firstLineChars="0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设备初次开机、模具更换、参数调整、模具维修等均需要按照抽样规则进行首件检验；</w:t>
            </w:r>
          </w:p>
          <w:p w14:paraId="702743C1" w14:textId="7FFE8962">
            <w:pPr>
              <w:pStyle w:val="11"/>
              <w:numPr>
                <w:ilvl w:val="0"/>
                <w:numId w:val="6"/>
              </w:numPr>
              <w:ind w:firstLineChars="0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首检如果发现不合格，及时向部门主管反映问题，待问题得到纠正，生产稳定后，重新进行首检，检验全部合格后，才可转入正常生产；</w:t>
            </w:r>
          </w:p>
          <w:p w14:paraId="42D45E65" w14:textId="7FFE8963">
            <w:pPr>
              <w:pStyle w:val="11"/>
              <w:numPr>
                <w:ilvl w:val="0"/>
                <w:numId w:val="6"/>
              </w:numPr>
              <w:ind w:firstLineChars="0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如果样本量等于或超过批量，则进行100%检验；</w:t>
            </w:r>
          </w:p>
          <w:p w14:paraId="2C154BD1" w14:textId="7FFE8964">
            <w:pPr>
              <w:pStyle w:val="11"/>
              <w:numPr>
                <w:ilvl w:val="0"/>
                <w:numId w:val="6"/>
              </w:numPr>
              <w:ind w:firstLineChars="0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过程巡检应每班记录两次，上午和下午各一次，巡检过程中若发现产品不合格，应及时向部门主管反映不合格问题，并对之前生产的产品进行隔离，问题纠正之后，进行双倍检验，确认无异之后，转入正常抽样。然后对之前生产的产品组织不合格评审，根据评审结果对该批次产品进行处理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eastAsia="zh-CN"/>
              </w:rPr>
              <w:t>。</w:t>
            </w:r>
          </w:p>
        </w:tc>
      </w:tr>
    </w:tbl>
    <w:p w14:paraId="295629AE" w14:textId="7FFE896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Chars="0"/>
        <w:jc w:val="left"/>
        <w:textAlignment w:val="auto"/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</w:pPr>
    </w:p>
    <w:p w14:paraId="1F36C650" w14:textId="7FFE8966">
      <w:pPr>
        <w:keepNext w:val="0"/>
        <w:keepLines w:val="0"/>
        <w:pageBreakBefore w:val="0"/>
        <w:widowControl w:val="0"/>
        <w:numPr>
          <w:ilvl w:val="1"/>
          <w:numId w:val="1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firstLine="0" w:firstLineChars="0"/>
        <w:jc w:val="left"/>
        <w:textAlignment w:val="auto"/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  <w:t>判定规则</w:t>
      </w:r>
    </w:p>
    <w:p w14:paraId="4621867E" w14:textId="7FFE89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0" w:firstLineChars="0"/>
        <w:textAlignment w:val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检验中，每一个检验项目均应合格。若出现不合格，则进行不合格品评审并按照不合格评审结果处理；尺寸首检不合格，待调整后生产稳定需再次进行首检，直到首检合格后方可进入正常生产，首检不合格的产品按照不合格品处理。</w:t>
      </w:r>
    </w:p>
    <w:p w14:paraId="4B23F197" w14:textId="7FFE8968">
      <w:pPr>
        <w:pStyle w:val="2"/>
      </w:pPr>
    </w:p>
    <w:p w14:paraId="2A8BA289" w14:textId="7FFE8969">
      <w:pPr>
        <w:numPr>
          <w:ilvl w:val="0"/>
          <w:numId w:val="1"/>
        </w:numPr>
        <w:tabs>
          <w:tab w:val="left" w:pos="1061"/>
        </w:tabs>
        <w:bidi w:val="0"/>
        <w:spacing w:line="360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相关文件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6"/>
        <w:gridCol w:w="9848"/>
      </w:tblGrid>
      <w:tr w14:paraId="48A51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6" w:type="dxa"/>
            <w:shd w:val="clear" w:color="auto" w:fill="D7D7D7" w:themeFill="background1" w:themeFillShade="D8"/>
          </w:tcPr>
          <w:p w14:paraId="46B75C50" w14:textId="7FFE896A">
            <w:pPr>
              <w:numPr>
                <w:ilvl w:val="-1"/>
                <w:numId w:val="0"/>
              </w:numPr>
              <w:tabs>
                <w:tab w:val="left" w:pos="1061"/>
              </w:tabs>
              <w:bidi w:val="0"/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文件编号</w:t>
            </w:r>
          </w:p>
        </w:tc>
        <w:tc>
          <w:tcPr>
            <w:tcW w:w="9848" w:type="dxa"/>
            <w:shd w:val="clear" w:color="auto" w:fill="D7D7D7" w:themeFill="background1" w:themeFillShade="D8"/>
          </w:tcPr>
          <w:p w14:paraId="386903F0" w14:textId="7FFE896B">
            <w:pPr>
              <w:numPr>
                <w:ilvl w:val="-1"/>
                <w:numId w:val="0"/>
              </w:numPr>
              <w:tabs>
                <w:tab w:val="left" w:pos="1061"/>
              </w:tabs>
              <w:bidi w:val="0"/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文件名称</w:t>
            </w:r>
          </w:p>
        </w:tc>
      </w:tr>
      <w:tr w14:paraId="1E1D0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6" w:type="dxa"/>
            <w:shd w:val="clear" w:color="auto" w:fill="auto"/>
            <w:vAlign w:val="top"/>
          </w:tcPr>
          <w:p w14:paraId="14ABA34D" w14:textId="7FFE896C">
            <w:pPr>
              <w:numPr>
                <w:ilvl w:val="-1"/>
                <w:numId w:val="0"/>
              </w:numPr>
              <w:tabs>
                <w:tab w:val="left" w:pos="1061"/>
              </w:tabs>
              <w:bidi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NA</w:t>
            </w:r>
          </w:p>
        </w:tc>
        <w:tc>
          <w:tcPr>
            <w:tcW w:w="9848" w:type="dxa"/>
            <w:shd w:val="clear" w:color="auto" w:fill="auto"/>
            <w:vAlign w:val="top"/>
          </w:tcPr>
          <w:p w14:paraId="27936467" w14:textId="7FFE896D">
            <w:pPr>
              <w:numPr>
                <w:ilvl w:val="-1"/>
                <w:numId w:val="0"/>
              </w:numPr>
              <w:tabs>
                <w:tab w:val="left" w:pos="1061"/>
              </w:tabs>
              <w:bidi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NA</w:t>
            </w:r>
          </w:p>
        </w:tc>
      </w:tr>
    </w:tbl>
    <w:p w14:paraId="2333E19E" w14:textId="7FFE896E">
      <w:pPr>
        <w:numPr>
          <w:ilvl w:val="-1"/>
          <w:numId w:val="0"/>
        </w:numPr>
        <w:tabs>
          <w:tab w:val="left" w:pos="1061"/>
        </w:tabs>
        <w:bidi w:val="0"/>
        <w:spacing w:line="360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</w:pPr>
    </w:p>
    <w:p w14:paraId="5FCC41BE" w14:textId="7FFE896F">
      <w:pPr>
        <w:numPr>
          <w:ilvl w:val="0"/>
          <w:numId w:val="1"/>
        </w:numPr>
        <w:tabs>
          <w:tab w:val="left" w:pos="1061"/>
        </w:tabs>
        <w:bidi w:val="0"/>
        <w:spacing w:line="360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相关记录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6"/>
        <w:gridCol w:w="9848"/>
      </w:tblGrid>
      <w:tr w14:paraId="24302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6" w:type="dxa"/>
            <w:shd w:val="clear" w:color="auto" w:fill="D7D7D7" w:themeFill="background1" w:themeFillShade="D8"/>
          </w:tcPr>
          <w:p w14:paraId="12D4B912" w14:textId="7FFE8970">
            <w:pPr>
              <w:numPr>
                <w:ilvl w:val="-1"/>
                <w:numId w:val="0"/>
              </w:numPr>
              <w:tabs>
                <w:tab w:val="left" w:pos="1061"/>
              </w:tabs>
              <w:bidi w:val="0"/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9848" w:type="dxa"/>
            <w:shd w:val="clear" w:color="auto" w:fill="D7D7D7" w:themeFill="background1" w:themeFillShade="D8"/>
          </w:tcPr>
          <w:p w14:paraId="12DFE8FC" w14:textId="7FFE8971">
            <w:pPr>
              <w:numPr>
                <w:ilvl w:val="-1"/>
                <w:numId w:val="0"/>
              </w:numPr>
              <w:tabs>
                <w:tab w:val="left" w:pos="1061"/>
              </w:tabs>
              <w:bidi w:val="0"/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记录名称</w:t>
            </w:r>
          </w:p>
        </w:tc>
      </w:tr>
      <w:tr w14:paraId="747E3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6" w:type="dxa"/>
          </w:tcPr>
          <w:p w14:paraId="0D5F1E29" w14:textId="7FFE8972">
            <w:pPr>
              <w:numPr>
                <w:ilvl w:val="-1"/>
                <w:numId w:val="0"/>
              </w:numPr>
              <w:tabs>
                <w:tab w:val="left" w:pos="1061"/>
              </w:tabs>
              <w:bidi w:val="0"/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RE-PQC-IDI-001-01</w:t>
            </w:r>
          </w:p>
        </w:tc>
        <w:tc>
          <w:tcPr>
            <w:tcW w:w="9848" w:type="dxa"/>
          </w:tcPr>
          <w:p w14:paraId="5C3C2DEA" w14:textId="7FFE8973">
            <w:pPr>
              <w:numPr>
                <w:ilvl w:val="-1"/>
                <w:numId w:val="0"/>
              </w:numPr>
              <w:tabs>
                <w:tab w:val="left" w:pos="1061"/>
              </w:tabs>
              <w:bidi w:val="0"/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按压式球囊扩充压力泵组装过程检验记录</w:t>
            </w:r>
          </w:p>
        </w:tc>
      </w:tr>
    </w:tbl>
    <w:p w14:paraId="4221975C" w14:textId="7FFE8974">
      <w:pPr>
        <w:numPr>
          <w:ilvl w:val="-1"/>
          <w:numId w:val="0"/>
        </w:numPr>
        <w:tabs>
          <w:tab w:val="left" w:pos="1061"/>
        </w:tabs>
        <w:bidi w:val="0"/>
        <w:spacing w:line="360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</w:pPr>
    </w:p>
    <w:p w14:paraId="2B39A940" w14:textId="7FFE8975">
      <w:pPr>
        <w:numPr>
          <w:ilvl w:val="0"/>
          <w:numId w:val="1"/>
        </w:numPr>
        <w:tabs>
          <w:tab w:val="left" w:pos="1061"/>
        </w:tabs>
        <w:bidi w:val="0"/>
        <w:spacing w:line="360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附件</w:t>
      </w:r>
    </w:p>
    <w:p w14:paraId="6FC19D0E" w14:textId="7FFE8976">
      <w:pPr>
        <w:numPr>
          <w:ilvl w:val="-1"/>
          <w:numId w:val="0"/>
        </w:numPr>
        <w:tabs>
          <w:tab w:val="left" w:pos="1061"/>
        </w:tabs>
        <w:bidi w:val="0"/>
        <w:spacing w:line="360" w:lineRule="auto"/>
        <w:ind w:left="0" w:leftChars="0" w:firstLine="0" w:firstLineChars="0"/>
        <w:jc w:val="both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无。</w:t>
      </w:r>
    </w:p>
    <w:sectPr>
      <w:headerReference w:type="first" r:id="rId4"/>
      <w:headerReference w:type="default" r:id="rId3"/>
      <w:footerReference w:type="default" r:id="rId5"/>
      <w:pgSz w:w="16838" w:h="11906" w:orient="landscape"/>
      <w:pgMar w:top="1440" w:right="1800" w:bottom="1440" w:left="1800" w:header="850" w:footer="992" w:gutter="0"/>
      <w:pgNumType w:fmt="decimal" w:start="1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B1E00B" w14:textId="7FFE898A">
    <w:pPr>
      <w:pStyle w:val="4"/>
      <w:jc w:val="center"/>
      <w:rPr>
        <w:rFonts w:hint="eastAsia"/>
        <w:color w:val="808080" w:themeColor="background1" w:themeShade="80"/>
        <w:sz w:val="18"/>
        <w:szCs w:val="18"/>
        <w:lang w:val="en-US" w:eastAsia="zh-CN"/>
      </w:rPr>
    </w:pPr>
    <w:r>
      <w:rPr>
        <w:rFonts w:hint="eastAsia"/>
        <w:color w:val="808080" w:themeColor="background1" w:themeShade="80"/>
        <w:sz w:val="18"/>
        <w:szCs w:val="18"/>
        <w:lang w:val="en-US" w:eastAsia="zh-CN"/>
      </w:rPr>
      <w:t>上海瑛泰医疗器械股份有限公司</w:t>
    </w:r>
  </w:p>
  <w:p w14:paraId="5ACFF60F" w14:textId="7FFE898B">
    <w:pPr>
      <w:pStyle w:val="4"/>
      <w:jc w:val="center"/>
      <w:rPr>
        <w:rFonts w:hint="default" w:ascii="Times New Roman" w:hAnsi="Times New Roman" w:cs="Times New Roman" w:eastAsiaTheme="minorEastAsia"/>
        <w:b/>
        <w:bCs/>
        <w:color w:val="808080" w:themeColor="background1" w:themeShade="80"/>
        <w:sz w:val="18"/>
        <w:szCs w:val="18"/>
        <w:lang w:val="en-US" w:eastAsia="zh-CN"/>
      </w:rPr>
    </w:pPr>
    <w:r>
      <w:rPr>
        <w:rFonts w:hint="eastAsia"/>
        <w:color w:val="808080" w:themeColor="background1" w:themeShade="80"/>
        <w:sz w:val="18"/>
        <w:szCs w:val="18"/>
        <w:lang w:val="en-US" w:eastAsia="zh-CN"/>
      </w:rPr>
      <w:t xml:space="preserve">                                                       </w:t>
    </w:r>
    <w:r>
      <w:rPr>
        <w:rFonts w:hint="default" w:ascii="Times New Roman" w:hAnsi="Times New Roman" w:cs="Times New Roman"/>
        <w:color w:val="808080" w:themeColor="background1" w:themeShade="80"/>
        <w:sz w:val="18"/>
        <w:szCs w:val="18"/>
        <w:lang w:val="en-US" w:eastAsia="zh-CN"/>
      </w:rPr>
      <w:t xml:space="preserve">Shanghai INT Medical Instruments Co., Ltd  </w:t>
    </w:r>
    <w:r>
      <w:rPr>
        <w:rFonts w:hint="eastAsia"/>
        <w:color w:val="808080" w:themeColor="background1" w:themeShade="80"/>
        <w:sz w:val="18"/>
        <w:szCs w:val="18"/>
        <w:lang w:val="en-US" w:eastAsia="zh-CN"/>
      </w:rPr>
      <w:t xml:space="preserve">                                  </w:t>
    </w:r>
    <w:r>
      <w:rPr>
        <w:rFonts w:hint="default" w:ascii="Times New Roman" w:hAnsi="Times New Roman" w:cs="Times New Roman"/>
        <w:color w:val="808080" w:themeColor="background1" w:themeShade="80"/>
        <w:sz w:val="18"/>
        <w:szCs w:val="18"/>
        <w:lang w:val="en-US" w:eastAsia="zh-CN"/>
      </w:rPr>
      <w:t xml:space="preserve"> </w:t>
    </w:r>
    <w:r>
      <w:rPr>
        <w:rFonts w:hint="eastAsia" w:ascii="Times New Roman" w:hAnsi="Times New Roman" w:cs="Times New Roman"/>
        <w:color w:val="808080" w:themeColor="background1" w:themeShade="80"/>
        <w:sz w:val="18"/>
        <w:szCs w:val="18"/>
        <w:lang w:val="en-US" w:eastAsia="zh-CN"/>
      </w:rPr>
      <w:t>P</w:t>
    </w:r>
    <w:r>
      <w:rPr>
        <w:rFonts w:hint="default" w:ascii="Times New Roman" w:hAnsi="Times New Roman" w:cs="Times New Roman"/>
        <w:color w:val="808080" w:themeColor="background1" w:themeShade="80"/>
        <w:sz w:val="18"/>
        <w:szCs w:val="18"/>
        <w:lang w:val="en-US" w:eastAsia="zh-CN"/>
      </w:rPr>
      <w:t>QC-0</w:t>
    </w:r>
    <w:r>
      <w:rPr>
        <w:rFonts w:hint="eastAsia" w:ascii="Times New Roman" w:hAnsi="Times New Roman" w:cs="Times New Roman"/>
        <w:color w:val="808080" w:themeColor="background1" w:themeShade="80"/>
        <w:sz w:val="18"/>
        <w:szCs w:val="18"/>
        <w:lang w:val="en-US" w:eastAsia="zh-CN"/>
      </w:rPr>
      <w:t>0</w:t>
    </w:r>
    <w:r>
      <w:rPr>
        <w:rFonts w:hint="default" w:ascii="Times New Roman" w:hAnsi="Times New Roman" w:cs="Times New Roman"/>
        <w:color w:val="808080" w:themeColor="background1" w:themeShade="80"/>
        <w:sz w:val="18"/>
        <w:szCs w:val="18"/>
        <w:lang w:val="en-US" w:eastAsia="zh-CN"/>
      </w:rPr>
      <w:t>1 Template A/0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"/>
      <w:tblW w:w="5000" w:type="pct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6333"/>
      <w:gridCol w:w="1838"/>
      <w:gridCol w:w="1881"/>
      <w:gridCol w:w="1397"/>
      <w:gridCol w:w="2005"/>
    </w:tblGrid>
    <w:tr w14:paraId="1F8620DD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5" w:hRule="atLeast"/>
      </w:trPr>
      <w:tc>
        <w:tcPr>
          <w:tcW w:w="2353" w:type="pct"/>
          <w:vMerge w:val="restart"/>
          <w:vAlign w:val="center"/>
        </w:tcPr>
        <w:p w14:paraId="7BFDB6E7" w14:textId="7FFE8981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按压式球囊扩充压力泵组装</w:t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t>过程检验规程</w:t>
          </w:r>
        </w:p>
      </w:tc>
      <w:tc>
        <w:tcPr>
          <w:tcW w:w="683" w:type="pct"/>
          <w:vAlign w:val="center"/>
        </w:tcPr>
        <w:p w14:paraId="054AD4CC" w14:textId="7FFE8982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t>文件编号</w:t>
          </w:r>
        </w:p>
      </w:tc>
      <w:tc>
        <w:tcPr>
          <w:tcW w:w="1963" w:type="pct"/>
          <w:gridSpan w:val="3"/>
          <w:vAlign w:val="center"/>
        </w:tcPr>
        <w:p w14:paraId="628528ED" w14:textId="7FFE8983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P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QC-</w:t>
          </w: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IDI</w:t>
          </w:r>
          <w:r>
            <w:rPr>
              <w:rFonts w:hint="default" w:ascii="Times New Roman" w:hAnsi="Times New Roman" w:eastAsia="宋体" w:cs="Times New Roman"/>
              <w:b/>
              <w:color w:val="0000FF"/>
              <w:kern w:val="2"/>
              <w:sz w:val="21"/>
              <w:szCs w:val="21"/>
              <w:lang w:val="en-US" w:eastAsia="zh-CN" w:bidi="ar-SA"/>
            </w:rPr>
            <w:t>-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001</w:t>
          </w:r>
        </w:p>
      </w:tc>
    </w:tr>
    <w:tr w14:paraId="0F7ADDBE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5" w:hRule="atLeast"/>
      </w:trPr>
      <w:tc>
        <w:tcPr>
          <w:tcW w:w="2353" w:type="pct"/>
          <w:vMerge w:val="continue"/>
          <w:vAlign w:val="center"/>
        </w:tcPr>
        <w:p w14:paraId="248EE3B4" w14:textId="7FFE8984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</w:pPr>
        </w:p>
      </w:tc>
      <w:tc>
        <w:tcPr>
          <w:tcW w:w="683" w:type="pct"/>
          <w:vAlign w:val="center"/>
        </w:tcPr>
        <w:p w14:paraId="6E4456EF" w14:textId="7FFE8985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t>版本</w:t>
          </w:r>
        </w:p>
      </w:tc>
      <w:tc>
        <w:tcPr>
          <w:tcW w:w="699" w:type="pct"/>
          <w:vAlign w:val="center"/>
        </w:tcPr>
        <w:p w14:paraId="2C009DAB" w14:textId="7FFE898E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 xml:space="preserve">B/1</w:t>
          </w:r>
        </w:p>
      </w:tc>
      <w:tc>
        <w:tcPr>
          <w:tcW w:w="519" w:type="pct"/>
          <w:vAlign w:val="center"/>
        </w:tcPr>
        <w:p w14:paraId="6D71808B" w14:textId="7FFE8987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t>页码</w:t>
          </w:r>
        </w:p>
      </w:tc>
      <w:tc>
        <w:tcPr>
          <w:tcW w:w="745" w:type="pct"/>
          <w:vAlign w:val="center"/>
        </w:tcPr>
        <w:p w14:paraId="7CF74B39" w14:textId="7FFE8988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zh-CN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instrText xml:space="preserve">PAGE  \* Arabic  \* MERGEFORMAT</w:instrText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zh-CN" w:eastAsia="zh-CN" w:bidi="ar-SA"/>
            </w:rPr>
            <w:t>1</w:t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fldChar w:fldCharType="end"/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zh-CN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t>of</w:t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zh-CN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instrText xml:space="preserve">NUMPAGES  \* Arabic  \* MERGEFORMAT</w:instrText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zh-CN" w:eastAsia="zh-CN" w:bidi="ar-SA"/>
            </w:rPr>
            <w:t>8</w:t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fldChar w:fldCharType="end"/>
          </w:r>
        </w:p>
      </w:tc>
    </w:tr>
  </w:tbl>
  <w:p w14:paraId="326CB028" w14:textId="7FFE8989">
    <w:pPr>
      <w:pStyle w:val="5"/>
      <w:keepNext w:val="0"/>
      <w:keepLines w:val="0"/>
      <w:pageBreakBefore w:val="0"/>
      <w:widowControl w:val="0"/>
      <w:kinsoku w:val="0"/>
      <w:wordWrap/>
      <w:overflowPunct w:val="0"/>
      <w:topLinePunct w:val="0"/>
      <w:autoSpaceDE w:val="0"/>
      <w:autoSpaceDN w:val="0"/>
      <w:bidi w:val="0"/>
      <w:adjustRightInd/>
      <w:snapToGrid w:val="0"/>
      <w:jc w:val="left"/>
      <w:textAlignment w:val="auto"/>
      <w:rPr>
        <w:rFonts w:hint="default"/>
        <w:b/>
        <w:bCs/>
        <w:sz w:val="2"/>
        <w:szCs w:val="2"/>
        <w:lang w:val="en-US" w:eastAsia="zh-CN"/>
      </w:rPr>
    </w:pPr>
  </w:p>
</w:hdr>
</file>

<file path=word/header2.xml><?xml version="1.0" encoding="utf-8"?>
<w:hdr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"/>
      <w:tblW w:w="5000" w:type="pct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6333"/>
      <w:gridCol w:w="1838"/>
      <w:gridCol w:w="1881"/>
      <w:gridCol w:w="1397"/>
      <w:gridCol w:w="2005"/>
    </w:tblGrid>
    <w:tr w14:paraId="149D2A2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90" w:hRule="atLeast"/>
      </w:trPr>
      <w:tc>
        <w:tcPr>
          <w:tcW w:w="5000" w:type="pct"/>
          <w:gridSpan w:val="5"/>
          <w:vAlign w:val="center"/>
        </w:tcPr>
        <w:p w14:paraId="49D033BE" w14:textId="7FFE8977">
          <w:pPr>
            <w:keepNext w:val="0"/>
            <w:keepLines w:val="0"/>
            <w:pageBreakBefore w:val="0"/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kinsoku/>
            <w:wordWrap/>
            <w:overflowPunct/>
            <w:topLinePunct w:val="0"/>
            <w:bidi w:val="0"/>
            <w:adjustRightInd w:val="0"/>
            <w:snapToGrid w:val="0"/>
            <w:spacing w:line="240" w:lineRule="auto"/>
            <w:ind w:firstLine="3614" w:firstLineChars="1000"/>
            <w:jc w:val="both"/>
            <w:textAlignment w:val="auto"/>
            <w:rPr>
              <w:rFonts w:hint="default" w:ascii="Times New Roman" w:hAnsi="Times New Roman" w:eastAsia="宋体" w:cs="Times New Roman"/>
              <w:b/>
              <w:kern w:val="2"/>
              <w:sz w:val="36"/>
              <w:szCs w:val="36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bCs/>
              <w:sz w:val="36"/>
              <w:szCs w:val="36"/>
              <w:lang w:val="en-US"/>
            </w:rPr>
            <w:drawing>
              <wp:anchor distT="0" distB="0" distL="114935" distR="114935" simplePos="0" relativeHeight="251659264" behindDoc="1" locked="0" layoutInCell="1" allowOverlap="1">
                <wp:simplePos x="0" y="0"/>
                <wp:positionH relativeFrom="column">
                  <wp:posOffset>-134620</wp:posOffset>
                </wp:positionH>
                <wp:positionV relativeFrom="paragraph">
                  <wp:posOffset>-455295</wp:posOffset>
                </wp:positionV>
                <wp:extent cx="1626235" cy="379730"/>
                <wp:effectExtent l="0" t="0" r="0" b="1270"/>
                <wp:wrapTight wrapText="bothSides">
                  <wp:wrapPolygon>
                    <wp:start x="6882" y="1734"/>
                    <wp:lineTo x="1215" y="2601"/>
                    <wp:lineTo x="405" y="4334"/>
                    <wp:lineTo x="405" y="15604"/>
                    <wp:lineTo x="810" y="20805"/>
                    <wp:lineTo x="18218" y="20805"/>
                    <wp:lineTo x="20445" y="19072"/>
                    <wp:lineTo x="21052" y="18205"/>
                    <wp:lineTo x="20849" y="3468"/>
                    <wp:lineTo x="20242" y="1734"/>
                    <wp:lineTo x="6882" y="1734"/>
                  </wp:wrapPolygon>
                </wp:wrapTight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6235" cy="379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hint="eastAsia" w:ascii="Times New Roman" w:hAnsi="Times New Roman" w:eastAsia="宋体" w:cs="Times New Roman"/>
              <w:b/>
              <w:bCs/>
              <w:sz w:val="36"/>
              <w:szCs w:val="36"/>
              <w:lang w:val="en-US" w:eastAsia="zh-CN"/>
            </w:rPr>
            <w:t>过程</w:t>
          </w:r>
          <w:r>
            <w:rPr>
              <w:rFonts w:hint="default" w:ascii="Times New Roman" w:hAnsi="Times New Roman" w:eastAsia="宋体" w:cs="Times New Roman"/>
              <w:b/>
              <w:bCs/>
              <w:sz w:val="36"/>
              <w:szCs w:val="36"/>
              <w:lang w:val="en-US" w:eastAsia="zh-CN"/>
            </w:rPr>
            <w:t>检验</w:t>
          </w:r>
          <w:r>
            <w:rPr>
              <w:rFonts w:hint="eastAsia" w:ascii="Times New Roman" w:hAnsi="Times New Roman" w:eastAsia="宋体" w:cs="Times New Roman"/>
              <w:b/>
              <w:bCs/>
              <w:sz w:val="36"/>
              <w:szCs w:val="36"/>
              <w:lang w:val="en-US" w:eastAsia="zh-CN"/>
            </w:rPr>
            <w:t>规程</w:t>
          </w:r>
        </w:p>
      </w:tc>
    </w:tr>
    <w:tr w14:paraId="7D23917C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5" w:hRule="atLeast"/>
      </w:trPr>
      <w:tc>
        <w:tcPr>
          <w:tcW w:w="2354" w:type="pct"/>
          <w:vMerge w:val="restart"/>
          <w:vAlign w:val="center"/>
        </w:tcPr>
        <w:p w14:paraId="28A38795" w14:textId="7FFE8978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按压式球囊扩充压力泵组装过程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检验</w:t>
          </w: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规程</w:t>
          </w:r>
        </w:p>
      </w:tc>
      <w:tc>
        <w:tcPr>
          <w:tcW w:w="683" w:type="pct"/>
          <w:vAlign w:val="center"/>
        </w:tcPr>
        <w:p w14:paraId="70158CAA" w14:textId="7FFE8979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文件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编号</w:t>
          </w:r>
        </w:p>
      </w:tc>
      <w:tc>
        <w:tcPr>
          <w:tcW w:w="1962" w:type="pct"/>
          <w:gridSpan w:val="3"/>
          <w:vAlign w:val="center"/>
        </w:tcPr>
        <w:p w14:paraId="752C249C" w14:textId="7FFE897A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P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QC-</w:t>
          </w: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IDI</w:t>
          </w:r>
          <w:r>
            <w:rPr>
              <w:rFonts w:hint="default" w:ascii="Times New Roman" w:hAnsi="Times New Roman" w:eastAsia="宋体" w:cs="Times New Roman"/>
              <w:b/>
              <w:color w:val="0000FF"/>
              <w:kern w:val="2"/>
              <w:sz w:val="21"/>
              <w:szCs w:val="21"/>
              <w:lang w:val="en-US" w:eastAsia="zh-CN" w:bidi="ar-SA"/>
            </w:rPr>
            <w:t>-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001</w:t>
          </w:r>
        </w:p>
      </w:tc>
    </w:tr>
    <w:tr w14:paraId="03772ABD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5" w:hRule="atLeast"/>
      </w:trPr>
      <w:tc>
        <w:tcPr>
          <w:tcW w:w="2354" w:type="pct"/>
          <w:vMerge w:val="continue"/>
          <w:vAlign w:val="center"/>
        </w:tcPr>
        <w:p w14:paraId="6CE1585D" w14:textId="7FFE897B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</w:p>
      </w:tc>
      <w:tc>
        <w:tcPr>
          <w:tcW w:w="683" w:type="pct"/>
          <w:vAlign w:val="center"/>
        </w:tcPr>
        <w:p w14:paraId="55A6D30F" w14:textId="7FFE897C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版本</w:t>
          </w:r>
        </w:p>
      </w:tc>
      <w:tc>
        <w:tcPr>
          <w:tcW w:w="699" w:type="pct"/>
          <w:vAlign w:val="center"/>
        </w:tcPr>
        <w:p w14:paraId="0C4A874C" w14:textId="7FFE898D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 xml:space="preserve">B/1</w:t>
          </w:r>
        </w:p>
      </w:tc>
      <w:tc>
        <w:tcPr>
          <w:tcW w:w="519" w:type="pct"/>
          <w:vAlign w:val="center"/>
        </w:tcPr>
        <w:p w14:paraId="0699A8A5" w14:textId="7FFE897E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页码</w:t>
          </w:r>
        </w:p>
      </w:tc>
      <w:tc>
        <w:tcPr>
          <w:tcW w:w="744" w:type="pct"/>
          <w:vAlign w:val="center"/>
        </w:tcPr>
        <w:p w14:paraId="792BEB36" w14:textId="7FFE897F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zh-CN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instrText xml:space="preserve">PAGE  \* Arabic  \* MERGEFORMAT</w:instrTex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zh-CN" w:eastAsia="zh-CN" w:bidi="ar-SA"/>
            </w:rPr>
            <w:t>1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end"/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zh-CN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of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zh-CN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instrText xml:space="preserve">NUMPAGES  \* Arabic  \* MERGEFORMAT</w:instrTex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zh-CN" w:eastAsia="zh-CN" w:bidi="ar-SA"/>
            </w:rPr>
            <w:t>8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end"/>
          </w:r>
        </w:p>
      </w:tc>
    </w:tr>
  </w:tbl>
  <w:p w14:paraId="215B2EF7" w14:textId="7FFE8980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AB1723"/>
    <w:multiLevelType w:val="multilevel"/>
    <w:tmpl w:val="B5AB1723"/>
    <w:lvl w:ilvl="0" w:tentative="0">
      <w:start w:val="1"/>
      <w:numFmt w:val="decimal"/>
      <w:suff w:val="space"/>
      <w:lvlText w:val="%1."/>
      <w:lvlJc w:val="left"/>
      <w:pPr>
        <w:ind w:left="0" w:leftChars="0" w:firstLine="0" w:firstLineChars="0"/>
      </w:pPr>
      <w:rPr>
        <w:rFonts w:hint="default" w:ascii="Times New Roman" w:hAnsi="Times New Roman" w:cs="Times New Roman"/>
        <w:b/>
        <w:bCs/>
        <w:sz w:val="21"/>
        <w:szCs w:val="21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  <w:color w:val="auto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F565BC68"/>
    <w:multiLevelType w:val="singleLevel"/>
    <w:tmpl w:val="F565BC68"/>
    <w:lvl w:ilvl="0" w:tentative="0">
      <w:start w:val="1"/>
      <w:numFmt w:val="decimal"/>
      <w:lvlText w:val="%1"/>
      <w:lvlJc w:val="left"/>
      <w:pPr>
        <w:ind w:left="0" w:leftChars="0" w:firstLine="85" w:firstLineChars="0"/>
      </w:pPr>
      <w:rPr>
        <w:rFonts w:hint="default"/>
      </w:rPr>
    </w:lvl>
  </w:abstractNum>
  <w:abstractNum w:abstractNumId="2">
    <w:nsid w:val="135E3537"/>
    <w:multiLevelType w:val="multilevel"/>
    <w:tmpl w:val="135E3537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AA2634B"/>
    <w:multiLevelType w:val="multilevel"/>
    <w:tmpl w:val="1AA2634B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C0C36AA"/>
    <w:multiLevelType w:val="multilevel"/>
    <w:tmpl w:val="4C0C36AA"/>
    <w:lvl w:ilvl="0" w:tentative="0">
      <w:start w:val="1"/>
      <w:numFmt w:val="decimal"/>
      <w:lvlText w:val="%1)"/>
      <w:lvlJc w:val="left"/>
      <w:pPr>
        <w:ind w:left="420" w:hanging="420"/>
      </w:pPr>
      <w:rPr>
        <w:rFonts w:hint="default"/>
        <w:b w:val="0"/>
        <w:bCs w:val="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4D365D51"/>
    <w:multiLevelType w:val="multilevel"/>
    <w:tmpl w:val="4D365D51"/>
    <w:lvl w:ilvl="0" w:tentative="0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bCs w:val="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58583F"/>
    <w:rsid w:val="00D84242"/>
    <w:rsid w:val="022B0E5C"/>
    <w:rsid w:val="02330EFE"/>
    <w:rsid w:val="02A4476B"/>
    <w:rsid w:val="0359505C"/>
    <w:rsid w:val="03851221"/>
    <w:rsid w:val="048D44FA"/>
    <w:rsid w:val="050D020A"/>
    <w:rsid w:val="05946468"/>
    <w:rsid w:val="05E732EC"/>
    <w:rsid w:val="06014AD8"/>
    <w:rsid w:val="080C0DE8"/>
    <w:rsid w:val="082223BA"/>
    <w:rsid w:val="087F35EE"/>
    <w:rsid w:val="08E74FD6"/>
    <w:rsid w:val="096572F9"/>
    <w:rsid w:val="0B1F52D6"/>
    <w:rsid w:val="0D86163D"/>
    <w:rsid w:val="0EAD00AF"/>
    <w:rsid w:val="0EDE7C5D"/>
    <w:rsid w:val="10BC5485"/>
    <w:rsid w:val="13826402"/>
    <w:rsid w:val="138403CC"/>
    <w:rsid w:val="14C70C0A"/>
    <w:rsid w:val="14F449C6"/>
    <w:rsid w:val="16FA28F5"/>
    <w:rsid w:val="17274F55"/>
    <w:rsid w:val="177619D0"/>
    <w:rsid w:val="18470E5D"/>
    <w:rsid w:val="18890233"/>
    <w:rsid w:val="191F50F3"/>
    <w:rsid w:val="19F84C10"/>
    <w:rsid w:val="1A44761C"/>
    <w:rsid w:val="1AA90859"/>
    <w:rsid w:val="1BD75E2C"/>
    <w:rsid w:val="1D067EAA"/>
    <w:rsid w:val="1D1722B1"/>
    <w:rsid w:val="1DD70E90"/>
    <w:rsid w:val="1E234C86"/>
    <w:rsid w:val="1FC73D37"/>
    <w:rsid w:val="20204E9B"/>
    <w:rsid w:val="20210D51"/>
    <w:rsid w:val="214A2489"/>
    <w:rsid w:val="215D170A"/>
    <w:rsid w:val="22486A69"/>
    <w:rsid w:val="22965659"/>
    <w:rsid w:val="23282909"/>
    <w:rsid w:val="233B65CE"/>
    <w:rsid w:val="25C77C46"/>
    <w:rsid w:val="28771763"/>
    <w:rsid w:val="28975FE4"/>
    <w:rsid w:val="29DB4B83"/>
    <w:rsid w:val="2A9071FF"/>
    <w:rsid w:val="2B965F4E"/>
    <w:rsid w:val="2B9E594C"/>
    <w:rsid w:val="2C032C2F"/>
    <w:rsid w:val="2CD31625"/>
    <w:rsid w:val="2D3E16EE"/>
    <w:rsid w:val="2D564730"/>
    <w:rsid w:val="2E0F48DF"/>
    <w:rsid w:val="2E691D69"/>
    <w:rsid w:val="2FC418D8"/>
    <w:rsid w:val="3073370F"/>
    <w:rsid w:val="314825E1"/>
    <w:rsid w:val="3190277E"/>
    <w:rsid w:val="31A07664"/>
    <w:rsid w:val="32093536"/>
    <w:rsid w:val="321B1AA4"/>
    <w:rsid w:val="332D6195"/>
    <w:rsid w:val="33DC359E"/>
    <w:rsid w:val="34FD2B17"/>
    <w:rsid w:val="35066A3B"/>
    <w:rsid w:val="355754E9"/>
    <w:rsid w:val="35835B7B"/>
    <w:rsid w:val="35F541F9"/>
    <w:rsid w:val="383F66A4"/>
    <w:rsid w:val="38E76B84"/>
    <w:rsid w:val="38F10816"/>
    <w:rsid w:val="394738CF"/>
    <w:rsid w:val="3A452926"/>
    <w:rsid w:val="3A5F274A"/>
    <w:rsid w:val="3AE113B1"/>
    <w:rsid w:val="3B462913"/>
    <w:rsid w:val="3BBF123D"/>
    <w:rsid w:val="3C6E69B0"/>
    <w:rsid w:val="3D58583F"/>
    <w:rsid w:val="3D6D242C"/>
    <w:rsid w:val="3E737833"/>
    <w:rsid w:val="3FD339BE"/>
    <w:rsid w:val="412A3AB2"/>
    <w:rsid w:val="41483F38"/>
    <w:rsid w:val="42AD0250"/>
    <w:rsid w:val="487675DC"/>
    <w:rsid w:val="49374FBE"/>
    <w:rsid w:val="49F93CCA"/>
    <w:rsid w:val="4AD40FF2"/>
    <w:rsid w:val="4B03776B"/>
    <w:rsid w:val="4C1710D6"/>
    <w:rsid w:val="4DED7941"/>
    <w:rsid w:val="4E4D0DDF"/>
    <w:rsid w:val="4F5037C2"/>
    <w:rsid w:val="50F32112"/>
    <w:rsid w:val="51B3364F"/>
    <w:rsid w:val="51EB4B97"/>
    <w:rsid w:val="53E70832"/>
    <w:rsid w:val="55A90FF1"/>
    <w:rsid w:val="561679A1"/>
    <w:rsid w:val="5638446B"/>
    <w:rsid w:val="56A61397"/>
    <w:rsid w:val="57E75E01"/>
    <w:rsid w:val="57EC1669"/>
    <w:rsid w:val="5BBE50CA"/>
    <w:rsid w:val="5C331FE5"/>
    <w:rsid w:val="5D916F3A"/>
    <w:rsid w:val="5DF66D9E"/>
    <w:rsid w:val="5F0D4001"/>
    <w:rsid w:val="656C3DE9"/>
    <w:rsid w:val="660B3A0E"/>
    <w:rsid w:val="66131908"/>
    <w:rsid w:val="66442670"/>
    <w:rsid w:val="679528B0"/>
    <w:rsid w:val="6BC56001"/>
    <w:rsid w:val="6D8634EC"/>
    <w:rsid w:val="6DB91B96"/>
    <w:rsid w:val="6DF07A4D"/>
    <w:rsid w:val="6DF96E85"/>
    <w:rsid w:val="6E217E67"/>
    <w:rsid w:val="6F54601A"/>
    <w:rsid w:val="70B72038"/>
    <w:rsid w:val="70DF1913"/>
    <w:rsid w:val="71AF5789"/>
    <w:rsid w:val="71BA2E7D"/>
    <w:rsid w:val="757C16EA"/>
    <w:rsid w:val="763C7BE1"/>
    <w:rsid w:val="77AE203F"/>
    <w:rsid w:val="79116D2A"/>
    <w:rsid w:val="7BF75644"/>
    <w:rsid w:val="7CB87C6B"/>
    <w:rsid w:val="7E38286F"/>
    <w:rsid w:val="7EEF6163"/>
    <w:rsid w:val="7F3B52FF"/>
    <w:rsid w:val="7F6F4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 w:qFormat="1"/>
    <w:lsdException w:name="footer" w:uiPriority="0" w:semiHidden="0" w:unhideWhenUsed="0" w:qFormat="1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99" w:semiHidden="0" w:qFormat="1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 w:qFormat="1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2"/>
    <w:qFormat/>
    <w:uiPriority w:val="0"/>
    <w:pPr>
      <w:keepNext/>
      <w:widowControl/>
      <w:spacing w:before="180" w:after="60"/>
      <w:jc w:val="left"/>
      <w:outlineLvl w:val="0"/>
    </w:pPr>
    <w:rPr>
      <w:rFonts w:ascii="Arial" w:hAnsi="Arial" w:cs="Arial"/>
      <w:b/>
      <w:bCs/>
      <w:kern w:val="32"/>
      <w:sz w:val="20"/>
      <w:szCs w:val="32"/>
      <w:lang w:eastAsia="en-US"/>
    </w:rPr>
  </w:style>
  <w:style w:type="character" w:styleId="9" w:default="1">
    <w:name w:val="Default Paragraph Font"/>
    <w:semiHidden/>
    <w:qFormat/>
    <w:uiPriority w:val="0"/>
  </w:style>
  <w:style w:type="table" w:styleId="7" w:default="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rPr>
      <w:sz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0" w:customStyle="1">
    <w:name w:val="网格型1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Pages>8</ap:Pages>
  <ap:Words>2413</ap:Words>
  <ap:Characters>3156</ap:Characters>
  <ap:Lines>0</ap:Lines>
  <ap:Paragraphs>0</ap:Paragraphs>
  <ap:TotalTime>20</ap:TotalTime>
  <ap:ScaleCrop>false</ap:ScaleCrop>
  <ap:LinksUpToDate>false</ap:LinksUpToDate>
  <ap:CharactersWithSpaces>3182</ap:CharactersWithSpaces>
  <ap:Application>WPS Office_12.1.0.24034_F1E327BC-269C-435d-A152-05C5408002CA</ap:Application>
  <ap:DocSecurity>0</ap:DocSecurity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2025-05-07T08:49:00Z</dcterms:created>
  <dc:creator>丁霜霜</dc:creator>
  <cp:lastModifiedBy>GY</cp:lastModifiedBy>
  <cp:lastPrinted>2025-12-29T02:57:40Z</cp:lastPrinted>
  <dcterms:modified xsi:type="dcterms:W3CDTF">2025-12-29T02:57:44Z</dcterms:modified>
  <cp:revision>1</cp:revision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KSOProductBuildVer">
    <vt:lpwstr>2052-12.1.0.24034</vt:lpwstr>
  </op:property>
  <op:property fmtid="{D5CDD505-2E9C-101B-9397-08002B2CF9AE}" pid="3" name="ICV">
    <vt:lpwstr>8834AF237CE34BBAB118F45BD9D7C943_11</vt:lpwstr>
  </op:property>
  <op:property fmtid="{D5CDD505-2E9C-101B-9397-08002B2CF9AE}" pid="4" name="KSOTemplateDocerSaveRecord">
    <vt:lpwstr>eyJoZGlkIjoiM2Y1YzBmZmEyMzI2ZGE4OGM1NWU0YWIyMTBlNWNkOGUiLCJ1c2VySWQiOiIxMTU0ODE5MDgyIn0=</vt:lpwstr>
  </op:property>
  <op:property fmtid="{D5CDD505-2E9C-101B-9397-08002B2CF9AE}" pid="5" name="OfficeCLI.Version">
    <vt:lpwstr>1.0.144</vt:lpwstr>
  </op:property>
  <op:property fmtid="{D5CDD505-2E9C-101B-9397-08002B2CF9AE}" pid="6" name="OfficeCLI.LastModified">
    <vt:lpwstr>2026-08-19T05:46:51Z</vt:lpwstr>
  </op:property>
</op:Properties>
</file>